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EE1123">
      <w:pPr>
        <w:spacing w:line="20" w:lineRule="exact"/>
        <w:ind w:right="57"/>
        <w:rPr>
          <w:rFonts w:eastAsia="方正仿宋_GBK"/>
          <w:sz w:val="28"/>
          <w:szCs w:val="28"/>
        </w:rPr>
      </w:pPr>
    </w:p>
    <w:p w14:paraId="68E66857">
      <w:pPr>
        <w:spacing w:line="20" w:lineRule="exact"/>
        <w:ind w:right="57" w:firstLine="280" w:firstLineChars="100"/>
        <w:rPr>
          <w:rFonts w:eastAsia="方正仿宋_GBK"/>
          <w:sz w:val="28"/>
          <w:szCs w:val="28"/>
        </w:rPr>
      </w:pPr>
    </w:p>
    <w:p w14:paraId="5F87AA08">
      <w:pPr>
        <w:spacing w:line="700" w:lineRule="exact"/>
        <w:rPr>
          <w:rFonts w:ascii="方正黑体_GBK" w:eastAsia="方正黑体_GBK"/>
          <w:sz w:val="32"/>
          <w:szCs w:val="32"/>
        </w:rPr>
      </w:pPr>
      <w:r>
        <w:rPr>
          <w:rFonts w:hint="eastAsia" w:ascii="方正黑体_GBK" w:eastAsia="方正黑体_GBK"/>
          <w:sz w:val="32"/>
          <w:szCs w:val="32"/>
        </w:rPr>
        <w:t>附件1</w:t>
      </w:r>
    </w:p>
    <w:p w14:paraId="44EF63CE">
      <w:pPr>
        <w:spacing w:beforeLines="100" w:line="700" w:lineRule="exact"/>
        <w:jc w:val="center"/>
        <w:rPr>
          <w:rFonts w:eastAsia="方正小标宋_GBK"/>
          <w:sz w:val="44"/>
          <w:szCs w:val="44"/>
        </w:rPr>
      </w:pPr>
      <w:r>
        <w:rPr>
          <w:rFonts w:eastAsia="方正小标宋_GBK"/>
          <w:sz w:val="44"/>
          <w:szCs w:val="44"/>
        </w:rPr>
        <w:t>《医疗卫生公共信用平台建设技术规范》</w:t>
      </w:r>
    </w:p>
    <w:p w14:paraId="33E8059C">
      <w:pPr>
        <w:spacing w:line="700" w:lineRule="exact"/>
        <w:jc w:val="center"/>
        <w:rPr>
          <w:rFonts w:eastAsia="方正小标宋_GBK"/>
          <w:sz w:val="44"/>
          <w:szCs w:val="44"/>
        </w:rPr>
      </w:pPr>
      <w:r>
        <w:rPr>
          <w:rFonts w:eastAsia="方正小标宋_GBK"/>
          <w:sz w:val="44"/>
          <w:szCs w:val="44"/>
        </w:rPr>
        <w:t>编制说明</w:t>
      </w:r>
    </w:p>
    <w:p w14:paraId="15E5669D">
      <w:pPr>
        <w:spacing w:line="590" w:lineRule="exact"/>
        <w:jc w:val="center"/>
        <w:rPr>
          <w:rFonts w:eastAsia="方正楷体_GBK"/>
          <w:sz w:val="32"/>
          <w:szCs w:val="32"/>
        </w:rPr>
      </w:pPr>
    </w:p>
    <w:p w14:paraId="0A23ECDA">
      <w:pPr>
        <w:spacing w:line="590" w:lineRule="exact"/>
        <w:ind w:firstLine="640" w:firstLineChars="200"/>
        <w:jc w:val="left"/>
        <w:rPr>
          <w:rFonts w:eastAsia="黑体"/>
          <w:sz w:val="32"/>
          <w:szCs w:val="32"/>
        </w:rPr>
      </w:pPr>
      <w:r>
        <w:rPr>
          <w:rFonts w:hAnsi="黑体" w:eastAsia="黑体"/>
          <w:sz w:val="32"/>
          <w:szCs w:val="32"/>
        </w:rPr>
        <w:t>一、</w:t>
      </w:r>
      <w:r>
        <w:rPr>
          <w:rFonts w:hint="eastAsia" w:hAnsi="黑体" w:eastAsia="黑体"/>
          <w:sz w:val="32"/>
          <w:szCs w:val="32"/>
        </w:rPr>
        <w:t>目的意义</w:t>
      </w:r>
    </w:p>
    <w:p w14:paraId="4017E6D3">
      <w:pPr>
        <w:spacing w:line="590" w:lineRule="exact"/>
        <w:ind w:firstLine="640" w:firstLineChars="200"/>
        <w:rPr>
          <w:rFonts w:eastAsia="方正仿宋_GBK"/>
          <w:sz w:val="32"/>
          <w:szCs w:val="32"/>
        </w:rPr>
      </w:pPr>
      <w:r>
        <w:rPr>
          <w:rFonts w:hint="eastAsia" w:eastAsia="方正仿宋_GBK"/>
          <w:sz w:val="32"/>
          <w:szCs w:val="32"/>
        </w:rPr>
        <w:t>近年来，</w:t>
      </w:r>
      <w:r>
        <w:rPr>
          <w:rFonts w:eastAsia="方正仿宋_GBK"/>
          <w:sz w:val="32"/>
          <w:szCs w:val="32"/>
        </w:rPr>
        <w:t>南通市卫生健康委积极</w:t>
      </w:r>
      <w:r>
        <w:rPr>
          <w:rFonts w:hint="eastAsia" w:eastAsia="方正仿宋_GBK"/>
          <w:sz w:val="32"/>
          <w:szCs w:val="32"/>
        </w:rPr>
        <w:t>推进医疗服务</w:t>
      </w:r>
      <w:r>
        <w:rPr>
          <w:rFonts w:eastAsia="方正仿宋_GBK"/>
          <w:sz w:val="32"/>
          <w:szCs w:val="32"/>
        </w:rPr>
        <w:t>多元化综合监管平台建设，自</w:t>
      </w:r>
      <w:r>
        <w:rPr>
          <w:rFonts w:hint="eastAsia" w:eastAsia="方正仿宋_GBK"/>
          <w:sz w:val="32"/>
          <w:szCs w:val="32"/>
        </w:rPr>
        <w:t>2022年5月平台正式上线使用后，</w:t>
      </w:r>
      <w:r>
        <w:rPr>
          <w:rFonts w:eastAsia="方正仿宋_GBK"/>
          <w:sz w:val="32"/>
          <w:szCs w:val="32"/>
        </w:rPr>
        <w:t>产生年均达数百万条的数据信息，并累计建立了各级各类医疗机构信用档案4616家</w:t>
      </w:r>
      <w:r>
        <w:rPr>
          <w:rFonts w:hint="eastAsia" w:eastAsia="方正仿宋_GBK"/>
          <w:sz w:val="32"/>
          <w:szCs w:val="32"/>
        </w:rPr>
        <w:t>。由于</w:t>
      </w:r>
      <w:r>
        <w:rPr>
          <w:rFonts w:eastAsia="方正仿宋_GBK"/>
          <w:sz w:val="32"/>
          <w:szCs w:val="32"/>
        </w:rPr>
        <w:t>未建立针对医疗卫生公共信用信息管理的规范和标准，每一个系统平台的对接都涉及大量的接口修改和对接工作，不利于数据交换的稳定运行，也不利于平台在基层医疗卫生机构的推广使用。据了解，目前</w:t>
      </w:r>
      <w:r>
        <w:rPr>
          <w:rFonts w:hint="eastAsia" w:eastAsia="方正仿宋_GBK"/>
          <w:sz w:val="32"/>
          <w:szCs w:val="32"/>
        </w:rPr>
        <w:t>我</w:t>
      </w:r>
      <w:r>
        <w:rPr>
          <w:rFonts w:eastAsia="方正仿宋_GBK"/>
          <w:sz w:val="32"/>
          <w:szCs w:val="32"/>
        </w:rPr>
        <w:t>省</w:t>
      </w:r>
      <w:r>
        <w:rPr>
          <w:rFonts w:hint="eastAsia" w:eastAsia="方正仿宋_GBK"/>
          <w:sz w:val="32"/>
          <w:szCs w:val="32"/>
        </w:rPr>
        <w:t>尚</w:t>
      </w:r>
      <w:r>
        <w:rPr>
          <w:rFonts w:eastAsia="方正仿宋_GBK"/>
          <w:sz w:val="32"/>
          <w:szCs w:val="32"/>
        </w:rPr>
        <w:t>未出台医疗卫生公共信用平台建设的相关技术规范和标准，全国范围内也仅江西省等个别地区出台类似的标准规范。</w:t>
      </w:r>
    </w:p>
    <w:p w14:paraId="3C8B6963">
      <w:pPr>
        <w:spacing w:line="590" w:lineRule="exact"/>
        <w:ind w:firstLine="640" w:firstLineChars="200"/>
        <w:rPr>
          <w:rFonts w:eastAsia="方正仿宋_GBK"/>
          <w:sz w:val="32"/>
          <w:szCs w:val="32"/>
        </w:rPr>
      </w:pPr>
      <w:r>
        <w:rPr>
          <w:rFonts w:eastAsia="方正仿宋_GBK"/>
          <w:sz w:val="32"/>
          <w:szCs w:val="32"/>
        </w:rPr>
        <w:t>鉴于此，</w:t>
      </w:r>
      <w:r>
        <w:rPr>
          <w:rFonts w:hint="eastAsia" w:eastAsia="方正仿宋_GBK"/>
          <w:sz w:val="32"/>
          <w:szCs w:val="32"/>
        </w:rPr>
        <w:t>南通市卫生健康委根据</w:t>
      </w:r>
      <w:r>
        <w:rPr>
          <w:rFonts w:eastAsia="方正仿宋_GBK"/>
          <w:sz w:val="32"/>
          <w:szCs w:val="32"/>
        </w:rPr>
        <w:t>医疗卫生行业</w:t>
      </w:r>
      <w:r>
        <w:rPr>
          <w:rFonts w:hint="eastAsia" w:eastAsia="方正仿宋_GBK"/>
          <w:sz w:val="32"/>
          <w:szCs w:val="32"/>
        </w:rPr>
        <w:t>信息化</w:t>
      </w:r>
      <w:r>
        <w:rPr>
          <w:rFonts w:eastAsia="方正仿宋_GBK"/>
          <w:sz w:val="32"/>
          <w:szCs w:val="32"/>
        </w:rPr>
        <w:t>建设和标准体系要求，结合南通</w:t>
      </w:r>
      <w:r>
        <w:rPr>
          <w:rFonts w:hint="eastAsia" w:eastAsia="方正仿宋_GBK"/>
          <w:sz w:val="32"/>
          <w:szCs w:val="32"/>
        </w:rPr>
        <w:t>市</w:t>
      </w:r>
      <w:r>
        <w:rPr>
          <w:rFonts w:eastAsia="方正仿宋_GBK"/>
          <w:sz w:val="32"/>
          <w:szCs w:val="32"/>
        </w:rPr>
        <w:t>医疗服务多元化监管平台体系架构，着手</w:t>
      </w:r>
      <w:r>
        <w:rPr>
          <w:rFonts w:hint="eastAsia" w:eastAsia="方正仿宋_GBK"/>
          <w:sz w:val="32"/>
          <w:szCs w:val="32"/>
        </w:rPr>
        <w:t>牵头</w:t>
      </w:r>
      <w:r>
        <w:rPr>
          <w:rFonts w:eastAsia="方正仿宋_GBK"/>
          <w:sz w:val="32"/>
          <w:szCs w:val="32"/>
        </w:rPr>
        <w:t>制定《医疗卫生公共信用平台建设技术规范》。重点围绕医疗卫生行业</w:t>
      </w:r>
      <w:r>
        <w:rPr>
          <w:rFonts w:hint="eastAsia" w:eastAsia="方正仿宋_GBK"/>
          <w:sz w:val="32"/>
          <w:szCs w:val="32"/>
        </w:rPr>
        <w:t>综合</w:t>
      </w:r>
      <w:r>
        <w:rPr>
          <w:rFonts w:eastAsia="方正仿宋_GBK"/>
          <w:sz w:val="32"/>
          <w:szCs w:val="32"/>
        </w:rPr>
        <w:t>监管，逐步健全医疗卫生监管信息化框架体系和数据标准体系，推动数据标准规则在各类新建或利旧监管项目上落实。通过推进统一的标准体系，实现各监管子系统之间数据有序互通，为后续监管信息的整合关联提供</w:t>
      </w:r>
      <w:r>
        <w:rPr>
          <w:rFonts w:hint="eastAsia" w:eastAsia="方正仿宋_GBK"/>
          <w:sz w:val="32"/>
          <w:szCs w:val="32"/>
        </w:rPr>
        <w:t>必要的</w:t>
      </w:r>
      <w:r>
        <w:rPr>
          <w:rFonts w:eastAsia="方正仿宋_GBK"/>
          <w:sz w:val="32"/>
          <w:szCs w:val="32"/>
        </w:rPr>
        <w:t>支撑，最终</w:t>
      </w:r>
      <w:r>
        <w:rPr>
          <w:rFonts w:hint="eastAsia" w:eastAsia="方正仿宋_GBK"/>
          <w:sz w:val="32"/>
          <w:szCs w:val="32"/>
        </w:rPr>
        <w:t>实现</w:t>
      </w:r>
      <w:r>
        <w:rPr>
          <w:rFonts w:eastAsia="方正仿宋_GBK"/>
          <w:sz w:val="32"/>
          <w:szCs w:val="32"/>
        </w:rPr>
        <w:t>各类医疗卫生监管数据信息的全过程、全方位、动态化管理。</w:t>
      </w:r>
    </w:p>
    <w:p w14:paraId="095A18D6">
      <w:pPr>
        <w:spacing w:line="590" w:lineRule="exact"/>
        <w:ind w:firstLine="480" w:firstLineChars="150"/>
        <w:rPr>
          <w:rFonts w:eastAsia="方正黑体_GBK"/>
          <w:sz w:val="32"/>
          <w:szCs w:val="32"/>
        </w:rPr>
      </w:pPr>
      <w:r>
        <w:rPr>
          <w:rFonts w:eastAsia="方正黑体_GBK"/>
          <w:sz w:val="32"/>
          <w:szCs w:val="32"/>
        </w:rPr>
        <w:t>二、</w:t>
      </w:r>
      <w:r>
        <w:rPr>
          <w:rFonts w:hint="eastAsia" w:eastAsia="方正黑体_GBK"/>
          <w:sz w:val="32"/>
          <w:szCs w:val="32"/>
        </w:rPr>
        <w:t>任务来源</w:t>
      </w:r>
    </w:p>
    <w:p w14:paraId="50E31CDD">
      <w:pPr>
        <w:spacing w:line="560" w:lineRule="exact"/>
        <w:ind w:firstLine="640" w:firstLineChars="200"/>
        <w:rPr>
          <w:rFonts w:eastAsia="方正仿宋_GBK"/>
          <w:sz w:val="32"/>
          <w:szCs w:val="32"/>
        </w:rPr>
      </w:pPr>
      <w:r>
        <w:rPr>
          <w:rFonts w:hint="eastAsia" w:eastAsia="方正仿宋_GBK"/>
          <w:sz w:val="32"/>
        </w:rPr>
        <w:t>2023年8月，</w:t>
      </w:r>
      <w:r>
        <w:rPr>
          <w:rFonts w:eastAsia="方正仿宋_GBK"/>
          <w:sz w:val="32"/>
        </w:rPr>
        <w:t>经江苏</w:t>
      </w:r>
      <w:r>
        <w:rPr>
          <w:rFonts w:eastAsia="方正仿宋_GBK"/>
          <w:kern w:val="0"/>
          <w:sz w:val="32"/>
          <w:szCs w:val="32"/>
        </w:rPr>
        <w:t>省卫生健康委</w:t>
      </w:r>
      <w:r>
        <w:rPr>
          <w:rFonts w:hint="eastAsia" w:eastAsia="方正仿宋_GBK"/>
          <w:sz w:val="32"/>
        </w:rPr>
        <w:t>推荐，</w:t>
      </w:r>
      <w:r>
        <w:rPr>
          <w:rFonts w:hint="eastAsia" w:eastAsia="方正仿宋_GBK"/>
          <w:kern w:val="0"/>
          <w:sz w:val="32"/>
          <w:szCs w:val="32"/>
        </w:rPr>
        <w:t>《</w:t>
      </w:r>
      <w:r>
        <w:rPr>
          <w:rFonts w:eastAsia="方正仿宋_GBK"/>
          <w:kern w:val="0"/>
          <w:sz w:val="32"/>
          <w:szCs w:val="32"/>
        </w:rPr>
        <w:t>医疗卫生公共信用平台建设技术规范</w:t>
      </w:r>
      <w:r>
        <w:rPr>
          <w:rFonts w:hint="eastAsia" w:eastAsia="方正仿宋_GBK"/>
          <w:kern w:val="0"/>
          <w:sz w:val="32"/>
          <w:szCs w:val="32"/>
        </w:rPr>
        <w:t>》被江苏</w:t>
      </w:r>
      <w:r>
        <w:rPr>
          <w:rFonts w:eastAsia="方正仿宋_GBK"/>
          <w:kern w:val="0"/>
          <w:sz w:val="32"/>
          <w:szCs w:val="32"/>
        </w:rPr>
        <w:t>省市场监督管理局正式列</w:t>
      </w:r>
      <w:r>
        <w:rPr>
          <w:rFonts w:hint="eastAsia" w:eastAsia="方正仿宋_GBK"/>
          <w:kern w:val="0"/>
          <w:sz w:val="32"/>
          <w:szCs w:val="32"/>
        </w:rPr>
        <w:t>入</w:t>
      </w:r>
      <w:r>
        <w:rPr>
          <w:rFonts w:eastAsia="方正仿宋_GBK"/>
          <w:sz w:val="32"/>
          <w:szCs w:val="32"/>
        </w:rPr>
        <w:t>《关于下达2023年度江苏省地方标准项目计划的通知》（苏市监标〔2023〕173号）</w:t>
      </w:r>
      <w:r>
        <w:rPr>
          <w:rFonts w:hint="eastAsia" w:eastAsia="方正仿宋_GBK"/>
          <w:sz w:val="32"/>
          <w:szCs w:val="32"/>
        </w:rPr>
        <w:t>计划项目</w:t>
      </w:r>
      <w:r>
        <w:rPr>
          <w:rFonts w:eastAsia="方正仿宋_GBK"/>
          <w:sz w:val="32"/>
          <w:szCs w:val="32"/>
        </w:rPr>
        <w:t>，编号：209。</w:t>
      </w:r>
      <w:r>
        <w:rPr>
          <w:rFonts w:hint="eastAsia" w:eastAsia="方正仿宋_GBK"/>
          <w:sz w:val="32"/>
        </w:rPr>
        <w:t>由南通市</w:t>
      </w:r>
      <w:r>
        <w:rPr>
          <w:rFonts w:eastAsia="方正仿宋_GBK"/>
          <w:sz w:val="32"/>
        </w:rPr>
        <w:t>卫生</w:t>
      </w:r>
      <w:r>
        <w:rPr>
          <w:rFonts w:hint="eastAsia" w:eastAsia="方正仿宋_GBK"/>
          <w:sz w:val="32"/>
        </w:rPr>
        <w:t>健康委</w:t>
      </w:r>
      <w:r>
        <w:rPr>
          <w:rFonts w:eastAsia="方正仿宋_GBK"/>
          <w:sz w:val="32"/>
        </w:rPr>
        <w:t>、南通市卫生监督所、</w:t>
      </w:r>
      <w:r>
        <w:rPr>
          <w:rFonts w:hint="eastAsia" w:eastAsia="方正仿宋_GBK"/>
          <w:sz w:val="32"/>
        </w:rPr>
        <w:t>南通市质量技术和标准化中心</w:t>
      </w:r>
      <w:r>
        <w:rPr>
          <w:rFonts w:eastAsia="方正仿宋_GBK"/>
          <w:sz w:val="32"/>
        </w:rPr>
        <w:t>承担本</w:t>
      </w:r>
      <w:r>
        <w:rPr>
          <w:rFonts w:hint="eastAsia" w:eastAsia="方正仿宋_GBK"/>
          <w:sz w:val="32"/>
        </w:rPr>
        <w:t>标准</w:t>
      </w:r>
      <w:r>
        <w:rPr>
          <w:rFonts w:eastAsia="方正仿宋_GBK"/>
          <w:sz w:val="32"/>
        </w:rPr>
        <w:t>的</w:t>
      </w:r>
      <w:r>
        <w:rPr>
          <w:rFonts w:hint="eastAsia" w:eastAsia="方正仿宋_GBK"/>
          <w:sz w:val="32"/>
        </w:rPr>
        <w:t>起草编制</w:t>
      </w:r>
      <w:r>
        <w:rPr>
          <w:rFonts w:eastAsia="方正仿宋_GBK"/>
          <w:sz w:val="32"/>
        </w:rPr>
        <w:t>工作。</w:t>
      </w:r>
    </w:p>
    <w:p w14:paraId="26C9DB6D">
      <w:pPr>
        <w:spacing w:line="590" w:lineRule="exact"/>
        <w:ind w:firstLine="640" w:firstLineChars="200"/>
        <w:jc w:val="left"/>
        <w:rPr>
          <w:rFonts w:eastAsia="方正黑体_GBK"/>
          <w:sz w:val="32"/>
          <w:szCs w:val="32"/>
        </w:rPr>
      </w:pPr>
      <w:r>
        <w:rPr>
          <w:rFonts w:eastAsia="方正黑体_GBK"/>
          <w:sz w:val="32"/>
          <w:szCs w:val="32"/>
        </w:rPr>
        <w:t>三、编制原则及依据</w:t>
      </w:r>
    </w:p>
    <w:p w14:paraId="3E2AFACC">
      <w:pPr>
        <w:spacing w:line="590" w:lineRule="exact"/>
        <w:ind w:firstLine="640" w:firstLineChars="200"/>
        <w:rPr>
          <w:rFonts w:eastAsia="方正楷体_GBK"/>
          <w:sz w:val="32"/>
          <w:szCs w:val="32"/>
        </w:rPr>
      </w:pPr>
      <w:r>
        <w:rPr>
          <w:rFonts w:eastAsia="方正楷体_GBK"/>
          <w:sz w:val="32"/>
          <w:szCs w:val="32"/>
        </w:rPr>
        <w:t>（一）编制原则</w:t>
      </w:r>
    </w:p>
    <w:p w14:paraId="68FF2613">
      <w:pPr>
        <w:spacing w:line="590" w:lineRule="exact"/>
        <w:ind w:firstLine="640" w:firstLineChars="200"/>
        <w:rPr>
          <w:rFonts w:eastAsia="方正仿宋_GBK"/>
          <w:sz w:val="32"/>
          <w:szCs w:val="32"/>
        </w:rPr>
      </w:pPr>
      <w:r>
        <w:rPr>
          <w:rFonts w:eastAsia="方正仿宋_GBK"/>
          <w:sz w:val="32"/>
          <w:szCs w:val="32"/>
        </w:rPr>
        <w:t>1.可行性原则。标准编制遵循“科学可行”原则，既尊重科学，又结合实际与文献资料，广泛征求并听取各方意见，确保本标准行之有效。</w:t>
      </w:r>
    </w:p>
    <w:p w14:paraId="129A34DC">
      <w:pPr>
        <w:spacing w:line="590" w:lineRule="exact"/>
        <w:ind w:firstLine="640" w:firstLineChars="200"/>
        <w:rPr>
          <w:rFonts w:eastAsia="方正仿宋_GBK"/>
          <w:sz w:val="32"/>
          <w:szCs w:val="32"/>
        </w:rPr>
      </w:pPr>
      <w:r>
        <w:rPr>
          <w:rFonts w:eastAsia="方正仿宋_GBK"/>
          <w:sz w:val="32"/>
          <w:szCs w:val="32"/>
        </w:rPr>
        <w:t>2.可操作性原则。本标准紧密结合医疗卫生公共信用信息采集工作发展实际，充分借鉴医疗服务监管平台建设和管理运营成功经验，系统性、可操作性强。</w:t>
      </w:r>
    </w:p>
    <w:p w14:paraId="51FB2367">
      <w:pPr>
        <w:spacing w:line="590" w:lineRule="exact"/>
        <w:ind w:firstLine="640" w:firstLineChars="200"/>
        <w:jc w:val="left"/>
        <w:rPr>
          <w:rFonts w:eastAsia="微软雅黑"/>
          <w:szCs w:val="21"/>
          <w:shd w:val="clear" w:color="auto" w:fill="EAEAEA"/>
        </w:rPr>
      </w:pPr>
      <w:r>
        <w:rPr>
          <w:rFonts w:eastAsia="方正楷体_GBK"/>
          <w:sz w:val="32"/>
          <w:szCs w:val="32"/>
        </w:rPr>
        <w:t>（二）编制依据</w:t>
      </w:r>
    </w:p>
    <w:p w14:paraId="6A9EF53F">
      <w:pPr>
        <w:spacing w:line="590" w:lineRule="exact"/>
        <w:ind w:firstLine="640" w:firstLineChars="200"/>
        <w:rPr>
          <w:rFonts w:eastAsia="方正仿宋_GBK"/>
          <w:sz w:val="32"/>
          <w:szCs w:val="32"/>
        </w:rPr>
      </w:pPr>
      <w:r>
        <w:rPr>
          <w:rFonts w:eastAsia="方正仿宋_GBK"/>
          <w:sz w:val="32"/>
          <w:szCs w:val="32"/>
        </w:rPr>
        <w:t>医疗服务监管平台本身不产生监管业务数据，相关基础数据主要来源于全民健康信息平台</w:t>
      </w:r>
      <w:r>
        <w:rPr>
          <w:rFonts w:hint="eastAsia" w:eastAsia="方正仿宋_GBK"/>
          <w:sz w:val="32"/>
          <w:szCs w:val="32"/>
        </w:rPr>
        <w:t>、</w:t>
      </w:r>
      <w:r>
        <w:rPr>
          <w:rFonts w:eastAsia="方正仿宋_GBK"/>
          <w:sz w:val="32"/>
          <w:szCs w:val="32"/>
        </w:rPr>
        <w:t>卫生监督管理平台</w:t>
      </w:r>
      <w:r>
        <w:rPr>
          <w:rFonts w:hint="eastAsia" w:eastAsia="方正仿宋_GBK"/>
          <w:sz w:val="32"/>
          <w:szCs w:val="32"/>
        </w:rPr>
        <w:t>、</w:t>
      </w:r>
      <w:r>
        <w:rPr>
          <w:rFonts w:eastAsia="方正仿宋_GBK"/>
          <w:sz w:val="32"/>
          <w:szCs w:val="32"/>
        </w:rPr>
        <w:t>依法执业</w:t>
      </w:r>
      <w:r>
        <w:rPr>
          <w:rFonts w:hint="eastAsia" w:eastAsia="方正仿宋_GBK"/>
          <w:sz w:val="32"/>
          <w:szCs w:val="32"/>
        </w:rPr>
        <w:t>自查</w:t>
      </w:r>
      <w:r>
        <w:rPr>
          <w:rFonts w:eastAsia="方正仿宋_GBK"/>
          <w:sz w:val="32"/>
          <w:szCs w:val="32"/>
        </w:rPr>
        <w:t>系统以及非现场</w:t>
      </w:r>
      <w:r>
        <w:rPr>
          <w:rFonts w:hint="eastAsia" w:eastAsia="方正仿宋_GBK"/>
          <w:sz w:val="32"/>
          <w:szCs w:val="32"/>
        </w:rPr>
        <w:t>执法</w:t>
      </w:r>
      <w:r>
        <w:rPr>
          <w:rFonts w:eastAsia="方正仿宋_GBK"/>
          <w:sz w:val="32"/>
          <w:szCs w:val="32"/>
        </w:rPr>
        <w:t>系统等多种数据源，在数据标准制定上，主要</w:t>
      </w:r>
      <w:r>
        <w:rPr>
          <w:rFonts w:hint="eastAsia" w:eastAsia="方正仿宋_GBK"/>
          <w:sz w:val="32"/>
          <w:szCs w:val="32"/>
        </w:rPr>
        <w:t>依据</w:t>
      </w:r>
      <w:r>
        <w:rPr>
          <w:rFonts w:eastAsia="方正仿宋_GBK"/>
          <w:sz w:val="32"/>
          <w:szCs w:val="32"/>
        </w:rPr>
        <w:t>国家、省相关医疗卫生行业信息化和信用建设相关标准。</w:t>
      </w:r>
    </w:p>
    <w:p w14:paraId="5F2EB914">
      <w:pPr>
        <w:pStyle w:val="15"/>
        <w:numPr>
          <w:ilvl w:val="0"/>
          <w:numId w:val="2"/>
        </w:numPr>
        <w:spacing w:line="590" w:lineRule="exact"/>
        <w:ind w:firstLineChars="0"/>
        <w:jc w:val="left"/>
        <w:rPr>
          <w:rFonts w:eastAsia="方正黑体简体"/>
          <w:sz w:val="32"/>
          <w:szCs w:val="32"/>
        </w:rPr>
      </w:pPr>
      <w:r>
        <w:rPr>
          <w:rFonts w:eastAsia="方正黑体简体"/>
          <w:sz w:val="32"/>
          <w:szCs w:val="32"/>
        </w:rPr>
        <w:t>编制过程</w:t>
      </w:r>
    </w:p>
    <w:p w14:paraId="68AD2F22">
      <w:pPr>
        <w:spacing w:line="590" w:lineRule="exact"/>
        <w:ind w:firstLine="640" w:firstLineChars="200"/>
        <w:jc w:val="left"/>
        <w:rPr>
          <w:rFonts w:eastAsia="方正楷体_GBK"/>
          <w:sz w:val="32"/>
          <w:szCs w:val="32"/>
        </w:rPr>
      </w:pPr>
      <w:r>
        <w:rPr>
          <w:rFonts w:eastAsia="方正楷体_GBK"/>
          <w:sz w:val="32"/>
          <w:szCs w:val="32"/>
        </w:rPr>
        <w:t>（一）前期准备</w:t>
      </w:r>
    </w:p>
    <w:p w14:paraId="1397CBB0">
      <w:pPr>
        <w:spacing w:line="590" w:lineRule="exact"/>
        <w:ind w:firstLine="640" w:firstLineChars="200"/>
        <w:jc w:val="left"/>
        <w:rPr>
          <w:rFonts w:eastAsia="方正仿宋_GBK"/>
          <w:sz w:val="32"/>
          <w:szCs w:val="32"/>
        </w:rPr>
      </w:pPr>
      <w:r>
        <w:rPr>
          <w:rFonts w:eastAsia="方正仿宋_GBK"/>
          <w:sz w:val="32"/>
          <w:szCs w:val="32"/>
        </w:rPr>
        <w:t>2022年8月，标准</w:t>
      </w:r>
      <w:r>
        <w:rPr>
          <w:rFonts w:hint="eastAsia" w:eastAsia="方正仿宋_GBK"/>
          <w:sz w:val="32"/>
          <w:szCs w:val="32"/>
        </w:rPr>
        <w:t>项目</w:t>
      </w:r>
      <w:r>
        <w:rPr>
          <w:rFonts w:eastAsia="方正仿宋_GBK"/>
          <w:sz w:val="32"/>
          <w:szCs w:val="32"/>
        </w:rPr>
        <w:t>组先后召开多次会议，认真学习相关文件精神，充分认识此次编制工作的重要意义和目的要求，明确人员职责和分工并制定工作计划。</w:t>
      </w:r>
    </w:p>
    <w:p w14:paraId="24119BD3">
      <w:pPr>
        <w:spacing w:line="590" w:lineRule="exact"/>
        <w:ind w:firstLine="640" w:firstLineChars="200"/>
        <w:jc w:val="left"/>
        <w:rPr>
          <w:rFonts w:eastAsia="方正仿宋_GBK"/>
          <w:sz w:val="32"/>
          <w:szCs w:val="32"/>
        </w:rPr>
      </w:pPr>
      <w:r>
        <w:rPr>
          <w:rFonts w:eastAsia="方正仿宋_GBK"/>
          <w:sz w:val="32"/>
          <w:szCs w:val="32"/>
        </w:rPr>
        <w:t>2022年8月</w:t>
      </w:r>
      <w:r>
        <w:rPr>
          <w:rFonts w:hint="eastAsia" w:eastAsia="方正仿宋_GBK"/>
          <w:sz w:val="32"/>
          <w:szCs w:val="32"/>
        </w:rPr>
        <w:t>~</w:t>
      </w:r>
      <w:r>
        <w:rPr>
          <w:rFonts w:eastAsia="方正仿宋_GBK"/>
          <w:sz w:val="32"/>
          <w:szCs w:val="32"/>
        </w:rPr>
        <w:t>9月，标准</w:t>
      </w:r>
      <w:r>
        <w:rPr>
          <w:rFonts w:hint="eastAsia" w:eastAsia="方正仿宋_GBK"/>
          <w:sz w:val="32"/>
          <w:szCs w:val="32"/>
        </w:rPr>
        <w:t>项目</w:t>
      </w:r>
      <w:r>
        <w:rPr>
          <w:rFonts w:eastAsia="方正仿宋_GBK"/>
          <w:sz w:val="32"/>
          <w:szCs w:val="32"/>
        </w:rPr>
        <w:t>组先后走访了</w:t>
      </w:r>
      <w:r>
        <w:rPr>
          <w:rFonts w:hint="eastAsia" w:eastAsia="方正仿宋_GBK"/>
          <w:sz w:val="32"/>
          <w:szCs w:val="32"/>
        </w:rPr>
        <w:t>南通</w:t>
      </w:r>
      <w:r>
        <w:rPr>
          <w:rFonts w:eastAsia="方正仿宋_GBK"/>
          <w:sz w:val="32"/>
          <w:szCs w:val="32"/>
        </w:rPr>
        <w:t>市各县（市</w:t>
      </w:r>
      <w:r>
        <w:rPr>
          <w:rFonts w:hint="eastAsia" w:eastAsia="方正仿宋_GBK"/>
          <w:sz w:val="32"/>
          <w:szCs w:val="32"/>
        </w:rPr>
        <w:t>、</w:t>
      </w:r>
      <w:r>
        <w:rPr>
          <w:rFonts w:eastAsia="方正仿宋_GBK"/>
          <w:sz w:val="32"/>
          <w:szCs w:val="32"/>
        </w:rPr>
        <w:t>区）卫生健康委、卫生监督机构以及</w:t>
      </w:r>
      <w:r>
        <w:rPr>
          <w:rFonts w:hint="eastAsia" w:eastAsia="方正仿宋_GBK"/>
          <w:sz w:val="32"/>
          <w:szCs w:val="32"/>
        </w:rPr>
        <w:t>部分</w:t>
      </w:r>
      <w:r>
        <w:rPr>
          <w:rFonts w:eastAsia="方正仿宋_GBK"/>
          <w:sz w:val="32"/>
          <w:szCs w:val="32"/>
        </w:rPr>
        <w:t>医疗机构，了解掌握公共信用信息采集、建设、运营情况，收集技术资料，在此基础上初步形成标准编制大纲。</w:t>
      </w:r>
    </w:p>
    <w:p w14:paraId="7B3EE642">
      <w:pPr>
        <w:spacing w:line="590" w:lineRule="exact"/>
        <w:ind w:firstLine="640" w:firstLineChars="200"/>
        <w:jc w:val="left"/>
        <w:rPr>
          <w:rFonts w:eastAsia="方正仿宋_GBK"/>
          <w:sz w:val="32"/>
          <w:szCs w:val="32"/>
        </w:rPr>
      </w:pPr>
      <w:r>
        <w:rPr>
          <w:rFonts w:eastAsia="方正仿宋_GBK"/>
          <w:sz w:val="32"/>
          <w:szCs w:val="32"/>
        </w:rPr>
        <w:t>2022年9月</w:t>
      </w:r>
      <w:r>
        <w:rPr>
          <w:rFonts w:hint="eastAsia" w:eastAsia="方正仿宋_GBK"/>
          <w:sz w:val="32"/>
          <w:szCs w:val="32"/>
        </w:rPr>
        <w:t>中旬</w:t>
      </w:r>
      <w:r>
        <w:rPr>
          <w:rFonts w:eastAsia="方正仿宋_GBK"/>
          <w:sz w:val="32"/>
          <w:szCs w:val="32"/>
        </w:rPr>
        <w:t>，标准</w:t>
      </w:r>
      <w:r>
        <w:rPr>
          <w:rFonts w:hint="eastAsia" w:eastAsia="方正仿宋_GBK"/>
          <w:sz w:val="32"/>
          <w:szCs w:val="32"/>
        </w:rPr>
        <w:t>项目</w:t>
      </w:r>
      <w:r>
        <w:rPr>
          <w:rFonts w:eastAsia="方正仿宋_GBK"/>
          <w:sz w:val="32"/>
          <w:szCs w:val="32"/>
        </w:rPr>
        <w:t>组与南通市质量技术监督局标准处进行对接，就标准设计、相关内容的选择，技术要点进行了沟通确认。</w:t>
      </w:r>
    </w:p>
    <w:p w14:paraId="04747D58">
      <w:pPr>
        <w:spacing w:line="590" w:lineRule="exact"/>
        <w:ind w:firstLine="640" w:firstLineChars="200"/>
        <w:jc w:val="left"/>
        <w:rPr>
          <w:rFonts w:eastAsia="方正楷体_GBK"/>
          <w:sz w:val="32"/>
          <w:szCs w:val="32"/>
        </w:rPr>
      </w:pPr>
      <w:r>
        <w:rPr>
          <w:rFonts w:eastAsia="方正楷体_GBK"/>
          <w:sz w:val="32"/>
          <w:szCs w:val="32"/>
        </w:rPr>
        <w:t>（二）中期编制</w:t>
      </w:r>
    </w:p>
    <w:p w14:paraId="2AC89686">
      <w:pPr>
        <w:spacing w:line="590" w:lineRule="exact"/>
        <w:ind w:firstLine="640" w:firstLineChars="200"/>
        <w:rPr>
          <w:rFonts w:eastAsia="方正仿宋_GBK"/>
          <w:sz w:val="32"/>
          <w:szCs w:val="32"/>
        </w:rPr>
      </w:pPr>
      <w:r>
        <w:rPr>
          <w:rFonts w:eastAsia="方正仿宋_GBK"/>
          <w:sz w:val="32"/>
          <w:szCs w:val="32"/>
        </w:rPr>
        <w:t>2022年9月</w:t>
      </w:r>
      <w:r>
        <w:rPr>
          <w:rFonts w:hint="eastAsia" w:eastAsia="方正仿宋_GBK"/>
          <w:sz w:val="32"/>
          <w:szCs w:val="32"/>
        </w:rPr>
        <w:t>~</w:t>
      </w:r>
      <w:r>
        <w:rPr>
          <w:rFonts w:eastAsia="方正仿宋_GBK"/>
          <w:sz w:val="32"/>
          <w:szCs w:val="32"/>
        </w:rPr>
        <w:t>2023年3月，标准</w:t>
      </w:r>
      <w:r>
        <w:rPr>
          <w:rFonts w:hint="eastAsia" w:eastAsia="方正仿宋_GBK"/>
          <w:sz w:val="32"/>
          <w:szCs w:val="32"/>
        </w:rPr>
        <w:t>项目</w:t>
      </w:r>
      <w:r>
        <w:rPr>
          <w:rFonts w:eastAsia="方正仿宋_GBK"/>
          <w:sz w:val="32"/>
          <w:szCs w:val="32"/>
        </w:rPr>
        <w:t>组根据相关文件要求，做好市级地方标准立项申请和省级地方标准立项申请的相关准备工作。</w:t>
      </w:r>
    </w:p>
    <w:p w14:paraId="20AB1F39">
      <w:pPr>
        <w:spacing w:line="590" w:lineRule="exact"/>
        <w:ind w:firstLine="640" w:firstLineChars="200"/>
        <w:rPr>
          <w:rFonts w:eastAsia="方正仿宋_GBK"/>
          <w:sz w:val="32"/>
          <w:szCs w:val="32"/>
        </w:rPr>
      </w:pPr>
      <w:r>
        <w:rPr>
          <w:rFonts w:eastAsia="方正仿宋_GBK"/>
          <w:sz w:val="32"/>
          <w:szCs w:val="32"/>
        </w:rPr>
        <w:t>2023年6月，南通市市场监督管理局《关于下达2023年度南通市地方标准项目计划的通知》（通市监函〔2023〕60号），将《医疗卫生公共信用平台建设技术规范》纳入市级地方标准立项，编号：NT2023—10。</w:t>
      </w:r>
    </w:p>
    <w:p w14:paraId="6E83C29E">
      <w:pPr>
        <w:spacing w:line="590" w:lineRule="exact"/>
        <w:ind w:firstLine="640" w:firstLineChars="200"/>
        <w:rPr>
          <w:rFonts w:eastAsia="方正仿宋_GBK"/>
          <w:sz w:val="32"/>
          <w:szCs w:val="32"/>
        </w:rPr>
      </w:pPr>
      <w:r>
        <w:rPr>
          <w:rFonts w:eastAsia="方正仿宋_GBK"/>
          <w:sz w:val="32"/>
          <w:szCs w:val="32"/>
        </w:rPr>
        <w:t>2023年8月，江苏省市场监督管理局《关于下达2023年度江苏省地方标准项目计划的通知》（苏市监标〔2023〕173号），将《医疗卫生公共信用平台建设技术规范》纳入省级地方标准立项，编号：209。</w:t>
      </w:r>
    </w:p>
    <w:p w14:paraId="0D779567">
      <w:pPr>
        <w:spacing w:line="590" w:lineRule="exact"/>
        <w:ind w:firstLine="640" w:firstLineChars="200"/>
        <w:rPr>
          <w:rFonts w:eastAsia="方正仿宋_GBK"/>
          <w:sz w:val="32"/>
          <w:szCs w:val="32"/>
        </w:rPr>
      </w:pPr>
      <w:r>
        <w:rPr>
          <w:rFonts w:eastAsia="方正仿宋_GBK"/>
          <w:sz w:val="32"/>
          <w:szCs w:val="32"/>
        </w:rPr>
        <w:t>2023年9月</w:t>
      </w:r>
      <w:r>
        <w:rPr>
          <w:rFonts w:hint="eastAsia" w:eastAsia="方正仿宋_GBK"/>
          <w:sz w:val="32"/>
          <w:szCs w:val="32"/>
        </w:rPr>
        <w:t>~</w:t>
      </w:r>
      <w:r>
        <w:rPr>
          <w:rFonts w:eastAsia="方正仿宋_GBK"/>
          <w:sz w:val="32"/>
          <w:szCs w:val="32"/>
        </w:rPr>
        <w:t>2023年12月，在编制大纲及内容基本成型的基础上，标准</w:t>
      </w:r>
      <w:r>
        <w:rPr>
          <w:rFonts w:hint="eastAsia" w:eastAsia="方正仿宋_GBK"/>
          <w:sz w:val="32"/>
          <w:szCs w:val="32"/>
        </w:rPr>
        <w:t>项目</w:t>
      </w:r>
      <w:r>
        <w:rPr>
          <w:rFonts w:eastAsia="方正仿宋_GBK"/>
          <w:sz w:val="32"/>
          <w:szCs w:val="32"/>
        </w:rPr>
        <w:t>组对编制大纲多次进行集中讨论，并根据各方意见，对章节编排和内容进行调整，完成标准初稿编制。</w:t>
      </w:r>
    </w:p>
    <w:p w14:paraId="591B0CBF">
      <w:pPr>
        <w:spacing w:line="590" w:lineRule="exact"/>
        <w:ind w:firstLine="640" w:firstLineChars="200"/>
        <w:jc w:val="left"/>
        <w:rPr>
          <w:rFonts w:eastAsia="方正楷体_GBK"/>
          <w:sz w:val="32"/>
          <w:szCs w:val="32"/>
        </w:rPr>
      </w:pPr>
      <w:r>
        <w:rPr>
          <w:rFonts w:eastAsia="方正楷体_GBK"/>
          <w:sz w:val="32"/>
          <w:szCs w:val="32"/>
        </w:rPr>
        <w:t>（三）后期成稿</w:t>
      </w:r>
    </w:p>
    <w:p w14:paraId="0C9B8383">
      <w:pPr>
        <w:spacing w:line="590" w:lineRule="exact"/>
        <w:ind w:firstLine="640" w:firstLineChars="200"/>
        <w:jc w:val="left"/>
        <w:rPr>
          <w:rFonts w:eastAsia="方正楷体_GBK"/>
          <w:sz w:val="32"/>
          <w:szCs w:val="32"/>
        </w:rPr>
      </w:pPr>
      <w:r>
        <w:rPr>
          <w:rFonts w:eastAsia="方正仿宋_GBK"/>
          <w:sz w:val="32"/>
          <w:szCs w:val="32"/>
        </w:rPr>
        <w:t>2024年1月</w:t>
      </w:r>
      <w:r>
        <w:rPr>
          <w:rFonts w:hint="eastAsia" w:eastAsia="方正仿宋_GBK"/>
          <w:sz w:val="32"/>
          <w:szCs w:val="32"/>
        </w:rPr>
        <w:t>~</w:t>
      </w:r>
      <w:r>
        <w:rPr>
          <w:rFonts w:eastAsia="方正仿宋_GBK"/>
          <w:sz w:val="32"/>
          <w:szCs w:val="32"/>
        </w:rPr>
        <w:t>2月，经多次会议讨论，不断修改完善</w:t>
      </w:r>
      <w:r>
        <w:rPr>
          <w:rFonts w:hint="eastAsia" w:eastAsia="方正仿宋_GBK"/>
          <w:sz w:val="32"/>
          <w:szCs w:val="32"/>
        </w:rPr>
        <w:t>，</w:t>
      </w:r>
      <w:r>
        <w:rPr>
          <w:rFonts w:eastAsia="方正仿宋_GBK"/>
          <w:sz w:val="32"/>
          <w:szCs w:val="32"/>
        </w:rPr>
        <w:t>确定本标准征求意见稿。</w:t>
      </w:r>
    </w:p>
    <w:p w14:paraId="2B4AD47F">
      <w:pPr>
        <w:spacing w:line="590" w:lineRule="exact"/>
        <w:ind w:firstLine="640" w:firstLineChars="200"/>
        <w:jc w:val="left"/>
        <w:rPr>
          <w:rFonts w:eastAsia="方正仿宋_GBK"/>
          <w:sz w:val="32"/>
          <w:szCs w:val="32"/>
        </w:rPr>
      </w:pPr>
      <w:r>
        <w:rPr>
          <w:rFonts w:eastAsia="方正仿宋_GBK"/>
          <w:sz w:val="32"/>
          <w:szCs w:val="32"/>
        </w:rPr>
        <w:t>2024年2月</w:t>
      </w:r>
      <w:r>
        <w:rPr>
          <w:rFonts w:hint="eastAsia" w:eastAsia="方正仿宋_GBK"/>
          <w:sz w:val="32"/>
          <w:szCs w:val="32"/>
        </w:rPr>
        <w:t>~</w:t>
      </w:r>
      <w:r>
        <w:rPr>
          <w:rFonts w:eastAsia="方正仿宋_GBK"/>
          <w:sz w:val="32"/>
          <w:szCs w:val="32"/>
        </w:rPr>
        <w:t>3月，开展征求意见稿意见征</w:t>
      </w:r>
      <w:r>
        <w:rPr>
          <w:rFonts w:hint="eastAsia" w:eastAsia="方正仿宋_GBK"/>
          <w:sz w:val="32"/>
          <w:szCs w:val="32"/>
        </w:rPr>
        <w:t>集</w:t>
      </w:r>
      <w:r>
        <w:rPr>
          <w:rFonts w:eastAsia="方正仿宋_GBK"/>
          <w:sz w:val="32"/>
          <w:szCs w:val="32"/>
        </w:rPr>
        <w:t>工作，广泛征求相关行业、</w:t>
      </w:r>
      <w:r>
        <w:rPr>
          <w:rFonts w:hint="eastAsia" w:eastAsia="方正仿宋_GBK"/>
          <w:sz w:val="32"/>
          <w:szCs w:val="32"/>
        </w:rPr>
        <w:t>部门</w:t>
      </w:r>
      <w:r>
        <w:rPr>
          <w:rFonts w:eastAsia="方正仿宋_GBK"/>
          <w:sz w:val="32"/>
          <w:szCs w:val="32"/>
        </w:rPr>
        <w:t>等各方专家意见建议。</w:t>
      </w:r>
    </w:p>
    <w:p w14:paraId="03CFC3D4">
      <w:pPr>
        <w:spacing w:line="590" w:lineRule="exact"/>
        <w:ind w:firstLine="640" w:firstLineChars="200"/>
        <w:jc w:val="left"/>
        <w:rPr>
          <w:rFonts w:eastAsia="方正仿宋_GBK"/>
          <w:sz w:val="32"/>
          <w:szCs w:val="32"/>
        </w:rPr>
      </w:pPr>
      <w:r>
        <w:rPr>
          <w:rFonts w:eastAsia="方正仿宋_GBK"/>
          <w:sz w:val="32"/>
          <w:szCs w:val="32"/>
        </w:rPr>
        <w:t>2024年4月17日，通过南通市级标准专家评审会评审。</w:t>
      </w:r>
    </w:p>
    <w:p w14:paraId="0132D35A">
      <w:pPr>
        <w:spacing w:line="590" w:lineRule="exact"/>
        <w:ind w:firstLine="640" w:firstLineChars="200"/>
        <w:jc w:val="left"/>
        <w:rPr>
          <w:rFonts w:eastAsia="方正仿宋_GBK"/>
          <w:sz w:val="32"/>
          <w:szCs w:val="32"/>
        </w:rPr>
      </w:pPr>
      <w:r>
        <w:rPr>
          <w:rFonts w:eastAsia="方正仿宋_GBK"/>
          <w:sz w:val="32"/>
          <w:szCs w:val="32"/>
        </w:rPr>
        <w:t>2024年6月，</w:t>
      </w:r>
      <w:r>
        <w:rPr>
          <w:rFonts w:hint="eastAsia" w:eastAsia="方正仿宋_GBK"/>
          <w:sz w:val="32"/>
          <w:szCs w:val="32"/>
        </w:rPr>
        <w:t>根据省地方标准要求，完善标准文本，形成专家讨论稿</w:t>
      </w:r>
      <w:r>
        <w:rPr>
          <w:rFonts w:eastAsia="方正仿宋_GBK"/>
          <w:sz w:val="32"/>
          <w:szCs w:val="32"/>
        </w:rPr>
        <w:t>。</w:t>
      </w:r>
    </w:p>
    <w:p w14:paraId="2B90D415">
      <w:pPr>
        <w:spacing w:line="590" w:lineRule="exact"/>
        <w:ind w:firstLine="640" w:firstLineChars="200"/>
        <w:jc w:val="left"/>
        <w:rPr>
          <w:rFonts w:eastAsia="方正黑体_GBK"/>
          <w:sz w:val="32"/>
          <w:szCs w:val="32"/>
        </w:rPr>
      </w:pPr>
      <w:r>
        <w:rPr>
          <w:rFonts w:hint="eastAsia" w:eastAsia="方正黑体_GBK"/>
          <w:sz w:val="32"/>
          <w:szCs w:val="32"/>
        </w:rPr>
        <w:t>四</w:t>
      </w:r>
      <w:r>
        <w:rPr>
          <w:rFonts w:eastAsia="方正黑体_GBK"/>
          <w:sz w:val="32"/>
          <w:szCs w:val="32"/>
        </w:rPr>
        <w:t>、主要内容及技术指标确定的依据</w:t>
      </w:r>
    </w:p>
    <w:p w14:paraId="5C4A3016">
      <w:pPr>
        <w:spacing w:line="590" w:lineRule="exact"/>
        <w:ind w:firstLine="640" w:firstLineChars="200"/>
        <w:jc w:val="left"/>
        <w:rPr>
          <w:rFonts w:eastAsia="方正仿宋_GBK"/>
          <w:sz w:val="32"/>
          <w:szCs w:val="32"/>
        </w:rPr>
      </w:pPr>
      <w:bookmarkStart w:id="0" w:name="_Toc169612876"/>
      <w:bookmarkStart w:id="1" w:name="_Toc24884218"/>
      <w:bookmarkStart w:id="2" w:name="_Toc24884211"/>
      <w:bookmarkStart w:id="3" w:name="_Toc17233325"/>
      <w:bookmarkStart w:id="4" w:name="_Toc17233333"/>
      <w:bookmarkStart w:id="5" w:name="_Toc97191423"/>
      <w:bookmarkStart w:id="6" w:name="_Toc26648465"/>
      <w:bookmarkStart w:id="7" w:name="_Toc26718930"/>
      <w:bookmarkStart w:id="8" w:name="_Toc130297657"/>
      <w:bookmarkStart w:id="9" w:name="_Toc26986530"/>
      <w:bookmarkStart w:id="10" w:name="_Toc26986771"/>
      <w:r>
        <w:rPr>
          <w:rFonts w:hint="eastAsia" w:eastAsia="方正仿宋_GBK"/>
          <w:sz w:val="32"/>
          <w:szCs w:val="32"/>
        </w:rPr>
        <w:t>本文件规定了医疗卫生公共信用信息平台建设的范围、平台架构、数据接口等内容。除前言外，正文包括7个章节以及2个附录。</w:t>
      </w:r>
    </w:p>
    <w:p w14:paraId="312C05DD">
      <w:pPr>
        <w:spacing w:line="590" w:lineRule="exact"/>
        <w:ind w:firstLine="640" w:firstLineChars="200"/>
        <w:jc w:val="left"/>
        <w:rPr>
          <w:rFonts w:eastAsia="方正楷体_GBK"/>
          <w:sz w:val="32"/>
          <w:szCs w:val="32"/>
        </w:rPr>
      </w:pPr>
      <w:r>
        <w:rPr>
          <w:rFonts w:hint="eastAsia" w:eastAsia="方正楷体_GBK"/>
          <w:sz w:val="32"/>
          <w:szCs w:val="32"/>
        </w:rPr>
        <w:t>（一）主要内容</w:t>
      </w:r>
    </w:p>
    <w:p w14:paraId="5D84F3F6">
      <w:pPr>
        <w:spacing w:line="590" w:lineRule="exact"/>
        <w:ind w:firstLine="640" w:firstLineChars="200"/>
        <w:jc w:val="left"/>
        <w:rPr>
          <w:rFonts w:eastAsia="方正仿宋_GBK"/>
          <w:sz w:val="32"/>
          <w:szCs w:val="32"/>
        </w:rPr>
      </w:pPr>
      <w:r>
        <w:rPr>
          <w:rFonts w:hint="eastAsia" w:eastAsia="方正仿宋_GBK"/>
          <w:sz w:val="32"/>
          <w:szCs w:val="32"/>
        </w:rPr>
        <w:t>第1章范围：本文件规定了医疗卫生公共信用平台建设的术语和定义、建设原则和目标、建设内容、建设模式、监管数据处理模式、监管信息目录编制和数据归集基本要求、技术框架、功能要求、性能要求、安全性要求和应用系统接口的要求。</w:t>
      </w:r>
    </w:p>
    <w:p w14:paraId="243ACD59">
      <w:pPr>
        <w:spacing w:line="590" w:lineRule="exact"/>
        <w:ind w:firstLine="640" w:firstLineChars="200"/>
        <w:jc w:val="left"/>
        <w:rPr>
          <w:rFonts w:eastAsia="方正仿宋_GBK"/>
          <w:sz w:val="32"/>
          <w:szCs w:val="32"/>
        </w:rPr>
      </w:pPr>
      <w:r>
        <w:rPr>
          <w:rFonts w:hint="eastAsia" w:eastAsia="方正仿宋_GBK"/>
          <w:sz w:val="32"/>
          <w:szCs w:val="32"/>
        </w:rPr>
        <w:t>第2章规范性引用文件：通过引用其他有关标准，将《信息安全技术健康医疗数据安全指南》（GB/T 39725-2020）、《医疗卫生信用信息归集规范》（DB32/T 4008-2021）、《医疗卫生信用评价规范》（DB32/T 4736-2024）等有关标准中的技术内容纳入本标准中，并构成本标准的一部分内容，以保持相关标准技术内容的协调性。</w:t>
      </w:r>
    </w:p>
    <w:p w14:paraId="12EA3CF5">
      <w:pPr>
        <w:spacing w:line="590" w:lineRule="exact"/>
        <w:ind w:firstLine="640" w:firstLineChars="200"/>
        <w:jc w:val="left"/>
        <w:rPr>
          <w:rFonts w:eastAsia="方正仿宋_GBK"/>
          <w:sz w:val="32"/>
          <w:szCs w:val="32"/>
        </w:rPr>
      </w:pPr>
      <w:r>
        <w:rPr>
          <w:rFonts w:hint="eastAsia" w:eastAsia="方正仿宋_GBK"/>
          <w:sz w:val="32"/>
          <w:szCs w:val="32"/>
        </w:rPr>
        <w:t>第3章术语和定义：除GB/T 39725-2020界定的信用相关术语和定义外，根据医疗卫生公共信用平台建设工作实际，规定了“医疗卫生公共信用平台”“监管信息”“医疗卫生信用信息”“信用档案”“监管数据处理”“依法执业自查系统”“监管信息分类”等术语和定义。</w:t>
      </w:r>
    </w:p>
    <w:p w14:paraId="2326AD85">
      <w:pPr>
        <w:spacing w:line="590" w:lineRule="exact"/>
        <w:ind w:firstLine="640" w:firstLineChars="200"/>
        <w:jc w:val="left"/>
        <w:rPr>
          <w:rFonts w:eastAsia="方正仿宋_GBK"/>
          <w:sz w:val="32"/>
          <w:szCs w:val="32"/>
        </w:rPr>
      </w:pPr>
      <w:r>
        <w:rPr>
          <w:rFonts w:hint="eastAsia" w:eastAsia="方正仿宋_GBK"/>
          <w:sz w:val="32"/>
          <w:szCs w:val="32"/>
        </w:rPr>
        <w:t>第4章建设原则和目标：明确了平台建设的原则和最终实现目标。</w:t>
      </w:r>
    </w:p>
    <w:p w14:paraId="15A8F336">
      <w:pPr>
        <w:spacing w:line="590" w:lineRule="exact"/>
        <w:ind w:firstLine="640" w:firstLineChars="200"/>
        <w:jc w:val="left"/>
        <w:rPr>
          <w:rFonts w:eastAsia="方正仿宋_GBK"/>
          <w:sz w:val="32"/>
          <w:szCs w:val="32"/>
        </w:rPr>
      </w:pPr>
      <w:r>
        <w:rPr>
          <w:rFonts w:hint="eastAsia" w:eastAsia="方正仿宋_GBK"/>
          <w:sz w:val="32"/>
          <w:szCs w:val="32"/>
        </w:rPr>
        <w:t>第5章技术要求：规定了平台的建设模式、监管信息目录编制的基本要求、界定了平台的技术框架，同时对框架进了详细的释义。明确了在技术实现、平台性能等层面需要完成的内容以及达到的要求。</w:t>
      </w:r>
    </w:p>
    <w:p w14:paraId="25EE89EF">
      <w:pPr>
        <w:spacing w:line="590" w:lineRule="exact"/>
        <w:ind w:firstLine="640" w:firstLineChars="200"/>
        <w:jc w:val="left"/>
        <w:rPr>
          <w:rFonts w:eastAsia="方正仿宋_GBK"/>
          <w:sz w:val="32"/>
          <w:szCs w:val="32"/>
        </w:rPr>
      </w:pPr>
      <w:r>
        <w:rPr>
          <w:rFonts w:hint="eastAsia" w:eastAsia="方正仿宋_GBK"/>
          <w:sz w:val="32"/>
          <w:szCs w:val="32"/>
        </w:rPr>
        <w:t>第6章安全性要求：规范平台的网络安全、应用系统安全、制度安全，明确了平台的安全建设体系的相关内容和要求。</w:t>
      </w:r>
    </w:p>
    <w:p w14:paraId="67AFFBF5">
      <w:pPr>
        <w:spacing w:line="590" w:lineRule="exact"/>
        <w:ind w:firstLine="640" w:firstLineChars="200"/>
        <w:jc w:val="left"/>
        <w:rPr>
          <w:rFonts w:eastAsia="方正仿宋_GBK"/>
          <w:sz w:val="32"/>
          <w:szCs w:val="32"/>
        </w:rPr>
      </w:pPr>
      <w:r>
        <w:rPr>
          <w:rFonts w:hint="eastAsia" w:eastAsia="方正仿宋_GBK"/>
          <w:sz w:val="32"/>
          <w:szCs w:val="32"/>
        </w:rPr>
        <w:t>第7章信用数据处理模式：明确了信用数据在归集、处理、存储和更新、分类管理等过程中的有关要求。</w:t>
      </w:r>
    </w:p>
    <w:p w14:paraId="37B012FA">
      <w:pPr>
        <w:spacing w:line="590" w:lineRule="exact"/>
        <w:ind w:firstLine="640" w:firstLineChars="200"/>
        <w:jc w:val="left"/>
        <w:rPr>
          <w:rFonts w:eastAsia="方正仿宋_GBK"/>
          <w:sz w:val="32"/>
          <w:szCs w:val="32"/>
        </w:rPr>
      </w:pPr>
      <w:r>
        <w:rPr>
          <w:rFonts w:hint="eastAsia" w:eastAsia="方正仿宋_GBK"/>
          <w:sz w:val="32"/>
          <w:szCs w:val="32"/>
        </w:rPr>
        <w:t>附录A、附录B：对相关数据交换接口规则、数据编码内容进行了明确，详细示例了接口目录、参数说明、业务类别编码、检测指标编码和预警类别编码内容。</w:t>
      </w:r>
    </w:p>
    <w:p w14:paraId="531106F0">
      <w:pPr>
        <w:spacing w:line="590" w:lineRule="exact"/>
        <w:ind w:firstLine="640" w:firstLineChars="200"/>
        <w:jc w:val="left"/>
        <w:rPr>
          <w:rFonts w:eastAsia="方正楷体_GBK"/>
          <w:sz w:val="32"/>
          <w:szCs w:val="32"/>
        </w:rPr>
      </w:pPr>
      <w:r>
        <w:rPr>
          <w:rFonts w:hint="eastAsia" w:eastAsia="方正楷体_GBK"/>
          <w:sz w:val="32"/>
          <w:szCs w:val="32"/>
        </w:rPr>
        <w:t>（二）技术指标的确定</w:t>
      </w:r>
    </w:p>
    <w:p w14:paraId="4F61FC46">
      <w:pPr>
        <w:spacing w:line="590" w:lineRule="exact"/>
        <w:ind w:firstLine="640" w:firstLineChars="200"/>
        <w:jc w:val="left"/>
        <w:rPr>
          <w:rFonts w:eastAsia="方正仿宋_GBK"/>
          <w:sz w:val="32"/>
          <w:szCs w:val="32"/>
        </w:rPr>
      </w:pPr>
      <w:r>
        <w:rPr>
          <w:rFonts w:hint="eastAsia" w:eastAsia="方正仿宋_GBK"/>
          <w:sz w:val="32"/>
          <w:szCs w:val="32"/>
        </w:rPr>
        <w:t>1、术语和定义</w:t>
      </w:r>
    </w:p>
    <w:p w14:paraId="020B02A6">
      <w:pPr>
        <w:spacing w:line="590" w:lineRule="exact"/>
        <w:ind w:firstLine="640" w:firstLineChars="200"/>
        <w:jc w:val="left"/>
        <w:rPr>
          <w:rFonts w:eastAsia="方正仿宋_GBK"/>
          <w:sz w:val="32"/>
          <w:szCs w:val="32"/>
        </w:rPr>
      </w:pPr>
      <w:r>
        <w:rPr>
          <w:rFonts w:hint="eastAsia" w:eastAsia="方正仿宋_GBK"/>
          <w:sz w:val="32"/>
          <w:szCs w:val="32"/>
        </w:rPr>
        <w:t>（1）医疗卫生信用的定义源于DB32/T 4736-2024。</w:t>
      </w:r>
    </w:p>
    <w:p w14:paraId="61C90951">
      <w:pPr>
        <w:spacing w:line="590" w:lineRule="exact"/>
        <w:ind w:firstLine="640" w:firstLineChars="200"/>
        <w:jc w:val="left"/>
        <w:rPr>
          <w:rFonts w:eastAsia="方正仿宋_GBK"/>
          <w:sz w:val="32"/>
          <w:szCs w:val="32"/>
        </w:rPr>
      </w:pPr>
      <w:r>
        <w:rPr>
          <w:rFonts w:hint="eastAsia" w:eastAsia="方正仿宋_GBK"/>
          <w:sz w:val="32"/>
          <w:szCs w:val="32"/>
        </w:rPr>
        <w:t>（2）医疗卫生信用信息的定义为用于识别、分析、判断医疗卫生信用状况的数据和资料。</w:t>
      </w:r>
    </w:p>
    <w:p w14:paraId="65E61DBE">
      <w:pPr>
        <w:spacing w:line="590" w:lineRule="exact"/>
        <w:ind w:firstLine="640" w:firstLineChars="200"/>
        <w:jc w:val="left"/>
        <w:rPr>
          <w:rFonts w:eastAsia="方正仿宋_GBK"/>
          <w:sz w:val="32"/>
          <w:szCs w:val="32"/>
        </w:rPr>
      </w:pPr>
      <w:r>
        <w:rPr>
          <w:rFonts w:hint="eastAsia" w:eastAsia="方正仿宋_GBK"/>
          <w:sz w:val="32"/>
          <w:szCs w:val="32"/>
        </w:rPr>
        <w:t>（3）信用档案的定义为信用档案围绕医疗机构和医护人员建设档案机制，汇集医疗机构/个人在医疗服务过程中的各类数据。</w:t>
      </w:r>
    </w:p>
    <w:p w14:paraId="58C0ADFB">
      <w:pPr>
        <w:spacing w:line="590" w:lineRule="exact"/>
        <w:ind w:firstLine="640" w:firstLineChars="200"/>
        <w:jc w:val="left"/>
        <w:rPr>
          <w:rFonts w:eastAsia="方正仿宋_GBK"/>
          <w:sz w:val="32"/>
          <w:szCs w:val="32"/>
        </w:rPr>
      </w:pPr>
      <w:r>
        <w:rPr>
          <w:rFonts w:hint="eastAsia" w:eastAsia="方正仿宋_GBK"/>
          <w:sz w:val="32"/>
          <w:szCs w:val="32"/>
        </w:rPr>
        <w:t>（4）监管信息的定义为医疗卫生监管工作中所产生到的各类监管数据或资料，主要包括各类监管对象的基础信息、人员信息、各种行为信息等。</w:t>
      </w:r>
    </w:p>
    <w:p w14:paraId="573CD97B">
      <w:pPr>
        <w:spacing w:line="590" w:lineRule="exact"/>
        <w:ind w:firstLine="640" w:firstLineChars="200"/>
        <w:jc w:val="left"/>
        <w:rPr>
          <w:rFonts w:eastAsia="方正仿宋_GBK"/>
          <w:sz w:val="32"/>
          <w:szCs w:val="32"/>
        </w:rPr>
      </w:pPr>
      <w:r>
        <w:rPr>
          <w:rFonts w:hint="eastAsia" w:eastAsia="方正仿宋_GBK"/>
          <w:sz w:val="32"/>
          <w:szCs w:val="32"/>
        </w:rPr>
        <w:t>（5）医疗卫生公共信用平台的定义为支撑医疗卫生公共信用监管的信息化平台，通过对各类监管业务数据的采集与整合，建立各监管应用模块，实现医疗监管数据跨部门的交换和共享，提升政府对医疗卫生监管能力，加强医疗机构自我管理意识。</w:t>
      </w:r>
    </w:p>
    <w:p w14:paraId="4D7D1DD6">
      <w:pPr>
        <w:spacing w:line="590" w:lineRule="exact"/>
        <w:ind w:firstLine="640" w:firstLineChars="200"/>
        <w:jc w:val="left"/>
        <w:rPr>
          <w:rFonts w:eastAsia="方正楷体_GBK"/>
          <w:sz w:val="32"/>
          <w:szCs w:val="32"/>
        </w:rPr>
      </w:pPr>
      <w:r>
        <w:rPr>
          <w:rFonts w:hint="eastAsia" w:eastAsia="方正楷体_GBK"/>
          <w:sz w:val="32"/>
          <w:szCs w:val="32"/>
        </w:rPr>
        <w:t>（三）平台建设模式的确定</w:t>
      </w:r>
    </w:p>
    <w:p w14:paraId="1BA7827E">
      <w:pPr>
        <w:spacing w:line="590" w:lineRule="exact"/>
        <w:ind w:firstLine="640" w:firstLineChars="200"/>
        <w:jc w:val="left"/>
        <w:rPr>
          <w:rFonts w:eastAsia="方正仿宋_GBK"/>
          <w:sz w:val="32"/>
          <w:szCs w:val="32"/>
        </w:rPr>
      </w:pPr>
      <w:r>
        <w:rPr>
          <w:rFonts w:hint="eastAsia" w:eastAsia="方正仿宋_GBK"/>
          <w:sz w:val="32"/>
          <w:szCs w:val="32"/>
        </w:rPr>
        <w:t>平台采用主子平台的模式进行建设，实现更高效的资源整合、业务协同和数据共享，以提升整体运营效率和服务质量。具体建设标准如下：</w:t>
      </w:r>
    </w:p>
    <w:p w14:paraId="602CEC63">
      <w:pPr>
        <w:spacing w:line="590" w:lineRule="exact"/>
        <w:ind w:firstLine="640" w:firstLineChars="200"/>
        <w:jc w:val="left"/>
        <w:rPr>
          <w:rFonts w:eastAsia="方正仿宋_GBK"/>
          <w:sz w:val="32"/>
          <w:szCs w:val="32"/>
        </w:rPr>
      </w:pPr>
      <w:r>
        <w:rPr>
          <w:rFonts w:hint="eastAsia" w:eastAsia="方正仿宋_GBK"/>
          <w:sz w:val="32"/>
          <w:szCs w:val="32"/>
        </w:rPr>
        <w:t>a)</w:t>
      </w:r>
      <w:r>
        <w:rPr>
          <w:rFonts w:hint="eastAsia" w:eastAsia="方正仿宋_GBK"/>
          <w:sz w:val="32"/>
          <w:szCs w:val="32"/>
        </w:rPr>
        <w:tab/>
      </w:r>
      <w:r>
        <w:rPr>
          <w:rFonts w:hint="eastAsia" w:eastAsia="方正仿宋_GBK"/>
          <w:sz w:val="32"/>
          <w:szCs w:val="32"/>
        </w:rPr>
        <w:t>主平台作为核心枢纽，制定统一的规则和标准，集中管理关键数据和业务流程。</w:t>
      </w:r>
    </w:p>
    <w:p w14:paraId="464A6B69">
      <w:pPr>
        <w:spacing w:line="590" w:lineRule="exact"/>
        <w:ind w:firstLine="640" w:firstLineChars="200"/>
        <w:jc w:val="left"/>
        <w:rPr>
          <w:rFonts w:eastAsia="方正仿宋_GBK"/>
          <w:sz w:val="32"/>
          <w:szCs w:val="32"/>
        </w:rPr>
      </w:pPr>
      <w:r>
        <w:rPr>
          <w:rFonts w:hint="eastAsia" w:eastAsia="方正仿宋_GBK"/>
          <w:sz w:val="32"/>
          <w:szCs w:val="32"/>
        </w:rPr>
        <w:t>b)</w:t>
      </w:r>
      <w:r>
        <w:rPr>
          <w:rFonts w:hint="eastAsia" w:eastAsia="方正仿宋_GBK"/>
          <w:sz w:val="32"/>
          <w:szCs w:val="32"/>
        </w:rPr>
        <w:tab/>
      </w:r>
      <w:r>
        <w:rPr>
          <w:rFonts w:hint="eastAsia" w:eastAsia="方正仿宋_GBK"/>
          <w:sz w:val="32"/>
          <w:szCs w:val="32"/>
        </w:rPr>
        <w:t>子平台可以根据主平台数据对接要求，提供相关监管数据，以实现主子平台数据互通。</w:t>
      </w:r>
    </w:p>
    <w:p w14:paraId="563AAD7F">
      <w:pPr>
        <w:spacing w:line="590" w:lineRule="exact"/>
        <w:ind w:firstLine="640" w:firstLineChars="200"/>
        <w:jc w:val="left"/>
        <w:rPr>
          <w:rFonts w:eastAsia="方正仿宋_GBK"/>
          <w:sz w:val="32"/>
          <w:szCs w:val="32"/>
        </w:rPr>
      </w:pPr>
      <w:r>
        <w:rPr>
          <w:rFonts w:hint="eastAsia" w:eastAsia="方正仿宋_GBK"/>
          <w:sz w:val="32"/>
          <w:szCs w:val="32"/>
        </w:rPr>
        <w:t>c)</w:t>
      </w:r>
      <w:r>
        <w:rPr>
          <w:rFonts w:hint="eastAsia" w:eastAsia="方正仿宋_GBK"/>
          <w:sz w:val="32"/>
          <w:szCs w:val="32"/>
        </w:rPr>
        <w:tab/>
      </w:r>
      <w:r>
        <w:rPr>
          <w:rFonts w:hint="eastAsia" w:eastAsia="方正仿宋_GBK"/>
          <w:sz w:val="32"/>
          <w:szCs w:val="32"/>
        </w:rPr>
        <w:t>部分监督条线创新应用在主平台暂不具备相关功能模块时，可由子平台自建和管理；</w:t>
      </w:r>
    </w:p>
    <w:p w14:paraId="38FB2CD9">
      <w:pPr>
        <w:spacing w:line="590" w:lineRule="exact"/>
        <w:ind w:firstLine="640" w:firstLineChars="200"/>
        <w:jc w:val="left"/>
        <w:rPr>
          <w:rFonts w:eastAsia="方正楷体_GBK"/>
          <w:sz w:val="32"/>
          <w:szCs w:val="32"/>
        </w:rPr>
      </w:pPr>
      <w:r>
        <w:rPr>
          <w:rFonts w:hint="eastAsia" w:eastAsia="方正楷体_GBK"/>
          <w:sz w:val="32"/>
          <w:szCs w:val="32"/>
        </w:rPr>
        <w:t>（四）监管信息目录编制的确定</w:t>
      </w:r>
    </w:p>
    <w:p w14:paraId="5FD26E3B">
      <w:pPr>
        <w:spacing w:line="590" w:lineRule="exact"/>
        <w:ind w:firstLine="640" w:firstLineChars="200"/>
        <w:jc w:val="left"/>
        <w:rPr>
          <w:rFonts w:eastAsia="方正仿宋_GBK"/>
          <w:sz w:val="32"/>
          <w:szCs w:val="32"/>
        </w:rPr>
      </w:pPr>
      <w:r>
        <w:rPr>
          <w:rFonts w:hint="eastAsia" w:eastAsia="方正仿宋_GBK"/>
          <w:sz w:val="32"/>
          <w:szCs w:val="32"/>
        </w:rPr>
        <w:t>监管信息目录编制应符合GB/T 7027-2002、GB/T 21063.1-2007、GB/T 21063.3-2007和GB/T 21063.6-2007的要求。清晰阐述编制监管信息目录的主要目的，采用科学合理的分类方法，对监管信息进行系统分类，对每类监管信息进行详细的内容描述，明确信息的准确性和完整性要求，规定必要的验证和审核机制。</w:t>
      </w:r>
    </w:p>
    <w:p w14:paraId="41123B57">
      <w:pPr>
        <w:spacing w:line="590" w:lineRule="exact"/>
        <w:ind w:firstLine="640" w:firstLineChars="200"/>
        <w:jc w:val="left"/>
        <w:rPr>
          <w:rFonts w:eastAsia="方正楷体_GBK"/>
          <w:sz w:val="32"/>
          <w:szCs w:val="32"/>
        </w:rPr>
      </w:pPr>
      <w:r>
        <w:rPr>
          <w:rFonts w:hint="eastAsia" w:eastAsia="方正楷体_GBK"/>
          <w:sz w:val="32"/>
          <w:szCs w:val="32"/>
        </w:rPr>
        <w:t>（五）信用数据归集的确定</w:t>
      </w:r>
    </w:p>
    <w:p w14:paraId="485C242A">
      <w:pPr>
        <w:spacing w:line="590" w:lineRule="exact"/>
        <w:ind w:firstLine="640" w:firstLineChars="200"/>
        <w:jc w:val="left"/>
        <w:rPr>
          <w:rFonts w:eastAsia="方正仿宋_GBK"/>
          <w:sz w:val="32"/>
          <w:szCs w:val="32"/>
        </w:rPr>
      </w:pPr>
      <w:r>
        <w:rPr>
          <w:rFonts w:hint="eastAsia" w:eastAsia="方正仿宋_GBK"/>
          <w:sz w:val="32"/>
          <w:szCs w:val="32"/>
        </w:rPr>
        <w:t>信用信息归集需要符合DB</w:t>
      </w:r>
      <w:r>
        <w:rPr>
          <w:rFonts w:eastAsia="方正仿宋_GBK"/>
          <w:sz w:val="32"/>
          <w:szCs w:val="32"/>
        </w:rPr>
        <w:t>32/T 4008-2021</w:t>
      </w:r>
      <w:r>
        <w:rPr>
          <w:rFonts w:hint="eastAsia" w:eastAsia="方正仿宋_GBK"/>
          <w:sz w:val="32"/>
          <w:szCs w:val="32"/>
        </w:rPr>
        <w:t>的要求，同时建立完善的归集管理制度，制定人员管理要求、规范归集操作流程。</w:t>
      </w:r>
    </w:p>
    <w:p w14:paraId="123559F4">
      <w:pPr>
        <w:spacing w:line="590" w:lineRule="exact"/>
        <w:ind w:firstLine="640" w:firstLineChars="200"/>
        <w:jc w:val="left"/>
        <w:rPr>
          <w:rFonts w:eastAsia="方正楷体_GBK"/>
          <w:sz w:val="32"/>
          <w:szCs w:val="32"/>
        </w:rPr>
      </w:pPr>
      <w:r>
        <w:rPr>
          <w:rFonts w:hint="eastAsia" w:eastAsia="方正楷体_GBK"/>
          <w:sz w:val="32"/>
          <w:szCs w:val="32"/>
        </w:rPr>
        <w:t>（六）信用数据分类管理的确定</w:t>
      </w:r>
    </w:p>
    <w:p w14:paraId="03E25743">
      <w:pPr>
        <w:spacing w:line="590" w:lineRule="exact"/>
        <w:ind w:firstLine="640" w:firstLineChars="200"/>
        <w:jc w:val="left"/>
        <w:rPr>
          <w:rFonts w:eastAsia="方正仿宋_GBK"/>
          <w:sz w:val="32"/>
          <w:szCs w:val="32"/>
        </w:rPr>
      </w:pPr>
      <w:r>
        <w:rPr>
          <w:rFonts w:hint="eastAsia" w:eastAsia="方正仿宋_GBK"/>
          <w:sz w:val="32"/>
          <w:szCs w:val="32"/>
        </w:rPr>
        <w:t>1）信用档案</w:t>
      </w:r>
    </w:p>
    <w:p w14:paraId="562BF77C">
      <w:pPr>
        <w:spacing w:line="590" w:lineRule="exact"/>
        <w:ind w:firstLine="640" w:firstLineChars="200"/>
        <w:jc w:val="left"/>
        <w:rPr>
          <w:rFonts w:eastAsia="方正仿宋_GBK"/>
          <w:sz w:val="32"/>
          <w:szCs w:val="32"/>
        </w:rPr>
      </w:pPr>
      <w:r>
        <w:rPr>
          <w:rFonts w:hint="eastAsia" w:eastAsia="方正仿宋_GBK"/>
          <w:sz w:val="32"/>
          <w:szCs w:val="32"/>
        </w:rPr>
        <w:t>信用档案是实现对各医疗机构、医护人员在医疗卫生体系内的全景画像。相关信用信息归集分类根据DB32T 4008-2021标准，按照社会统一信用代码为唯一识别号的户档进行自动归类。</w:t>
      </w:r>
    </w:p>
    <w:p w14:paraId="46A03864">
      <w:pPr>
        <w:spacing w:line="590" w:lineRule="exact"/>
        <w:ind w:firstLine="640" w:firstLineChars="200"/>
        <w:jc w:val="left"/>
        <w:rPr>
          <w:rFonts w:eastAsia="方正仿宋_GBK"/>
          <w:sz w:val="32"/>
          <w:szCs w:val="32"/>
        </w:rPr>
      </w:pPr>
      <w:r>
        <w:rPr>
          <w:rFonts w:hint="eastAsia" w:eastAsia="方正仿宋_GBK"/>
          <w:sz w:val="32"/>
          <w:szCs w:val="32"/>
        </w:rPr>
        <w:t>2）信用评分</w:t>
      </w:r>
    </w:p>
    <w:p w14:paraId="14149DC8">
      <w:pPr>
        <w:spacing w:line="590" w:lineRule="exact"/>
        <w:ind w:firstLine="640" w:firstLineChars="200"/>
        <w:jc w:val="left"/>
        <w:rPr>
          <w:rFonts w:eastAsia="方正仿宋_GBK"/>
          <w:sz w:val="32"/>
          <w:szCs w:val="32"/>
        </w:rPr>
      </w:pPr>
      <w:r>
        <w:rPr>
          <w:rFonts w:hint="eastAsia" w:eastAsia="方正仿宋_GBK"/>
          <w:sz w:val="32"/>
          <w:szCs w:val="32"/>
        </w:rPr>
        <w:t>根据我省医疗卫生信用信息管理暂行办法和进一步加强医疗卫生信用体系建设推动信用分类监管工作的指导建议，并结合当地医疗卫生实际情况和专家组建议，根据DB32T 4736-2024标准，开展数据自动采集，进行分类评价。</w:t>
      </w:r>
    </w:p>
    <w:p w14:paraId="6B0A6994">
      <w:pPr>
        <w:spacing w:line="590" w:lineRule="exact"/>
        <w:ind w:firstLine="640" w:firstLineChars="200"/>
        <w:jc w:val="left"/>
        <w:rPr>
          <w:rFonts w:eastAsia="方正仿宋_GBK"/>
          <w:sz w:val="32"/>
          <w:szCs w:val="32"/>
        </w:rPr>
      </w:pPr>
      <w:r>
        <w:rPr>
          <w:rFonts w:hint="eastAsia" w:eastAsia="方正仿宋_GBK"/>
          <w:sz w:val="32"/>
          <w:szCs w:val="32"/>
        </w:rPr>
        <w:t>评价模型。评价指标和评价规则设定，由监督人员进行现查打分或通过系统自动计算，并统一汇集到系统进行汇总计算。</w:t>
      </w:r>
    </w:p>
    <w:p w14:paraId="170EE01E">
      <w:pPr>
        <w:spacing w:line="590" w:lineRule="exact"/>
        <w:ind w:firstLine="640" w:firstLineChars="200"/>
        <w:jc w:val="left"/>
        <w:rPr>
          <w:rFonts w:eastAsia="方正仿宋_GBK"/>
          <w:sz w:val="32"/>
          <w:szCs w:val="32"/>
        </w:rPr>
      </w:pPr>
      <w:r>
        <w:rPr>
          <w:rFonts w:hint="eastAsia" w:eastAsia="方正仿宋_GBK"/>
          <w:sz w:val="32"/>
          <w:szCs w:val="32"/>
        </w:rPr>
        <w:t>评分评级。根据模型结果对机构进行初步的信用评分和评级。</w:t>
      </w:r>
    </w:p>
    <w:p w14:paraId="3A5640F9">
      <w:pPr>
        <w:spacing w:line="590" w:lineRule="exact"/>
        <w:ind w:firstLine="640" w:firstLineChars="200"/>
        <w:jc w:val="left"/>
        <w:rPr>
          <w:rFonts w:eastAsia="方正仿宋_GBK"/>
          <w:sz w:val="32"/>
          <w:szCs w:val="32"/>
        </w:rPr>
      </w:pPr>
      <w:r>
        <w:rPr>
          <w:rFonts w:hint="eastAsia" w:eastAsia="方正仿宋_GBK"/>
          <w:sz w:val="32"/>
          <w:szCs w:val="32"/>
        </w:rPr>
        <w:t>3）信用应用</w:t>
      </w:r>
    </w:p>
    <w:p w14:paraId="31DB54EA">
      <w:pPr>
        <w:spacing w:line="590" w:lineRule="exact"/>
        <w:ind w:firstLine="640" w:firstLineChars="200"/>
        <w:jc w:val="left"/>
        <w:rPr>
          <w:rFonts w:eastAsia="方正仿宋_GBK"/>
          <w:sz w:val="32"/>
          <w:szCs w:val="32"/>
        </w:rPr>
      </w:pPr>
      <w:r>
        <w:rPr>
          <w:rFonts w:hint="eastAsia" w:eastAsia="方正仿宋_GBK"/>
          <w:sz w:val="32"/>
          <w:szCs w:val="32"/>
        </w:rPr>
        <w:t>建立守信名单和失信者名单机制，加强医疗服务监管，促进机构自我信用意识提升。其次建立跨部门的信用监管协同，通过垂直管理与省级平台互通，分布管理与市级信用平台互通，实现跨部门信用协同</w:t>
      </w:r>
    </w:p>
    <w:p w14:paraId="2CFDCF19">
      <w:pPr>
        <w:spacing w:line="590" w:lineRule="exact"/>
        <w:ind w:firstLine="640" w:firstLineChars="200"/>
        <w:jc w:val="left"/>
        <w:rPr>
          <w:rFonts w:eastAsia="方正仿宋_GBK"/>
          <w:sz w:val="32"/>
          <w:szCs w:val="32"/>
        </w:rPr>
      </w:pPr>
      <w:r>
        <w:rPr>
          <w:rFonts w:hint="eastAsia" w:eastAsia="方正仿宋_GBK"/>
          <w:sz w:val="32"/>
          <w:szCs w:val="32"/>
        </w:rPr>
        <w:t>4）信用修复</w:t>
      </w:r>
    </w:p>
    <w:p w14:paraId="5B50B9CE">
      <w:pPr>
        <w:spacing w:line="590" w:lineRule="exact"/>
        <w:ind w:firstLine="640" w:firstLineChars="200"/>
        <w:jc w:val="left"/>
        <w:rPr>
          <w:rFonts w:eastAsia="方正仿宋_GBK"/>
          <w:sz w:val="32"/>
          <w:szCs w:val="32"/>
        </w:rPr>
      </w:pPr>
      <w:r>
        <w:rPr>
          <w:rFonts w:hint="eastAsia" w:eastAsia="方正仿宋_GBK"/>
          <w:sz w:val="32"/>
          <w:szCs w:val="32"/>
        </w:rPr>
        <w:t>对符合条件的失信主体在经过整改和审核后，可以通过信用体系中的“信用修复”对过往的失信记录进行修复。通过“信用修复”渠道，为失信主体提供改过自新的机会，保障失信主体的合法权益，推动信用建设规范化、系统化。</w:t>
      </w:r>
    </w:p>
    <w:bookmarkEnd w:id="0"/>
    <w:bookmarkEnd w:id="1"/>
    <w:bookmarkEnd w:id="2"/>
    <w:bookmarkEnd w:id="3"/>
    <w:bookmarkEnd w:id="4"/>
    <w:bookmarkEnd w:id="5"/>
    <w:bookmarkEnd w:id="6"/>
    <w:bookmarkEnd w:id="7"/>
    <w:bookmarkEnd w:id="8"/>
    <w:bookmarkEnd w:id="9"/>
    <w:bookmarkEnd w:id="10"/>
    <w:p w14:paraId="74B52107">
      <w:pPr>
        <w:spacing w:line="590" w:lineRule="exact"/>
        <w:ind w:firstLine="640" w:firstLineChars="200"/>
        <w:jc w:val="left"/>
        <w:rPr>
          <w:rFonts w:eastAsia="方正黑体_GBK"/>
          <w:sz w:val="32"/>
          <w:szCs w:val="32"/>
        </w:rPr>
      </w:pPr>
      <w:r>
        <w:rPr>
          <w:rFonts w:eastAsia="方正黑体_GBK"/>
          <w:sz w:val="32"/>
          <w:szCs w:val="32"/>
        </w:rPr>
        <w:t>五、重大分歧意见的处理过程和依据</w:t>
      </w:r>
    </w:p>
    <w:p w14:paraId="17EE7185">
      <w:pPr>
        <w:spacing w:line="590" w:lineRule="exact"/>
        <w:ind w:firstLine="640" w:firstLineChars="200"/>
        <w:jc w:val="left"/>
        <w:rPr>
          <w:rFonts w:eastAsia="方正仿宋_GBK"/>
          <w:sz w:val="32"/>
          <w:szCs w:val="32"/>
        </w:rPr>
      </w:pPr>
      <w:r>
        <w:rPr>
          <w:rFonts w:eastAsia="方正仿宋_GBK"/>
          <w:sz w:val="32"/>
          <w:szCs w:val="32"/>
        </w:rPr>
        <w:t>无</w:t>
      </w:r>
    </w:p>
    <w:p w14:paraId="53AEDD7B">
      <w:pPr>
        <w:spacing w:line="590" w:lineRule="exact"/>
        <w:ind w:firstLine="640" w:firstLineChars="200"/>
        <w:jc w:val="left"/>
        <w:rPr>
          <w:rFonts w:eastAsia="方正黑体_GBK"/>
          <w:sz w:val="32"/>
          <w:szCs w:val="32"/>
        </w:rPr>
      </w:pPr>
      <w:r>
        <w:rPr>
          <w:rFonts w:eastAsia="方正黑体_GBK"/>
          <w:sz w:val="32"/>
          <w:szCs w:val="32"/>
        </w:rPr>
        <w:t>六、与相关法律法规和国家标准的关系</w:t>
      </w:r>
    </w:p>
    <w:p w14:paraId="12C04386">
      <w:pPr>
        <w:spacing w:line="560" w:lineRule="exact"/>
        <w:ind w:firstLine="640" w:firstLineChars="200"/>
        <w:rPr>
          <w:rFonts w:eastAsia="方正仿宋_GBK"/>
          <w:sz w:val="32"/>
        </w:rPr>
      </w:pPr>
      <w:r>
        <w:rPr>
          <w:rFonts w:eastAsia="方正仿宋_GBK"/>
          <w:sz w:val="32"/>
        </w:rPr>
        <w:t>本标准依据《中华人民共和国行政处罚法》《优化营商环境条例》《江苏省“十四五”卫生健康发展规划》等文件中关于医疗卫生公共信用平台建设的相关要求编写，未违反相关法律法规及强制性标准。</w:t>
      </w:r>
    </w:p>
    <w:p w14:paraId="38960514">
      <w:pPr>
        <w:spacing w:line="560" w:lineRule="exact"/>
        <w:ind w:firstLine="640" w:firstLineChars="200"/>
        <w:rPr>
          <w:rFonts w:eastAsia="方正仿宋_GBK"/>
          <w:sz w:val="32"/>
          <w:szCs w:val="32"/>
        </w:rPr>
      </w:pPr>
      <w:r>
        <w:rPr>
          <w:rFonts w:eastAsia="方正仿宋_GBK"/>
          <w:sz w:val="32"/>
        </w:rPr>
        <w:t>本标准按照GB/T 1.1《标准化工作导则 第1部分：标准的结构和编写》的要求，对现有的医疗卫生公共信用平台建设工作进行总结归纳，在编写过程中参考了全省卫生健康医疗卫生公共信用平台的开展情况，确保了标准形式的规范性，内容的全面性、准确性和可操作性。</w:t>
      </w:r>
    </w:p>
    <w:p w14:paraId="7C941688">
      <w:pPr>
        <w:spacing w:line="590" w:lineRule="exact"/>
        <w:ind w:firstLine="640" w:firstLineChars="200"/>
        <w:jc w:val="left"/>
        <w:rPr>
          <w:rFonts w:eastAsia="方正黑体_GBK"/>
          <w:sz w:val="32"/>
          <w:szCs w:val="32"/>
        </w:rPr>
      </w:pPr>
      <w:r>
        <w:rPr>
          <w:rFonts w:eastAsia="方正黑体_GBK"/>
          <w:sz w:val="32"/>
          <w:szCs w:val="32"/>
        </w:rPr>
        <w:t>八、推广实施建议</w:t>
      </w:r>
    </w:p>
    <w:p w14:paraId="7BA2217E">
      <w:pPr>
        <w:spacing w:line="600" w:lineRule="exact"/>
        <w:ind w:firstLine="645"/>
        <w:rPr>
          <w:rFonts w:eastAsia="方正仿宋_GBK"/>
          <w:sz w:val="32"/>
          <w:szCs w:val="32"/>
        </w:rPr>
      </w:pPr>
      <w:r>
        <w:rPr>
          <w:rFonts w:eastAsia="方正仿宋_GBK"/>
          <w:sz w:val="32"/>
          <w:szCs w:val="32"/>
        </w:rPr>
        <w:t>本标准可在江苏省推广应用。建议标准发布后，由省级卫生健康行政部门牵头，在省内开展标准宣贯培训工作，在医疗卫生公共信用平台建设时参照本标准。本标准需在实践中不断总结完善。</w:t>
      </w:r>
    </w:p>
    <w:p w14:paraId="5F9CAB65">
      <w:pPr>
        <w:numPr>
          <w:ilvl w:val="0"/>
          <w:numId w:val="3"/>
        </w:numPr>
        <w:spacing w:line="590" w:lineRule="exact"/>
        <w:ind w:firstLine="640" w:firstLineChars="200"/>
        <w:jc w:val="left"/>
        <w:rPr>
          <w:rFonts w:eastAsia="方正黑体_GBK"/>
          <w:sz w:val="32"/>
          <w:szCs w:val="32"/>
        </w:rPr>
      </w:pPr>
      <w:r>
        <w:rPr>
          <w:rFonts w:eastAsia="方正黑体_GBK"/>
          <w:sz w:val="32"/>
          <w:szCs w:val="32"/>
        </w:rPr>
        <w:t>起草单位和起草人员信息及分工</w:t>
      </w:r>
    </w:p>
    <w:p w14:paraId="08208FAD">
      <w:pPr>
        <w:spacing w:line="600" w:lineRule="exact"/>
        <w:ind w:firstLine="645"/>
        <w:rPr>
          <w:rFonts w:eastAsia="方正仿宋_GBK"/>
          <w:sz w:val="32"/>
          <w:szCs w:val="32"/>
        </w:rPr>
      </w:pPr>
      <w:r>
        <w:rPr>
          <w:rFonts w:eastAsia="方正仿宋_GBK"/>
          <w:sz w:val="32"/>
          <w:szCs w:val="32"/>
        </w:rPr>
        <w:t>本标准起草单位：南通市卫生健康委员会、南通市卫生监督所、南通市质量技术和标准化中心。</w:t>
      </w:r>
    </w:p>
    <w:p w14:paraId="4AAC4E11">
      <w:pPr>
        <w:widowControl/>
        <w:jc w:val="left"/>
        <w:rPr>
          <w:rFonts w:eastAsia="方正仿宋_GBK"/>
          <w:sz w:val="32"/>
          <w:szCs w:val="32"/>
        </w:rPr>
      </w:pPr>
      <w:r>
        <w:rPr>
          <w:rFonts w:eastAsia="方正仿宋_GBK"/>
          <w:sz w:val="32"/>
          <w:szCs w:val="32"/>
        </w:rPr>
        <w:br w:type="page"/>
      </w:r>
    </w:p>
    <w:p w14:paraId="04DF0681">
      <w:pPr>
        <w:spacing w:line="590" w:lineRule="exact"/>
        <w:ind w:firstLine="640" w:firstLineChars="200"/>
        <w:jc w:val="left"/>
        <w:rPr>
          <w:rFonts w:eastAsia="方正仿宋_GBK"/>
          <w:sz w:val="32"/>
          <w:szCs w:val="32"/>
        </w:rPr>
      </w:pPr>
      <w:r>
        <w:rPr>
          <w:rFonts w:eastAsia="方正仿宋_GBK"/>
          <w:sz w:val="32"/>
          <w:szCs w:val="32"/>
        </w:rPr>
        <w:t xml:space="preserve">本标准主要起草人: </w:t>
      </w:r>
    </w:p>
    <w:tbl>
      <w:tblPr>
        <w:tblStyle w:val="10"/>
        <w:tblW w:w="96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7"/>
        <w:gridCol w:w="1675"/>
        <w:gridCol w:w="2578"/>
        <w:gridCol w:w="2883"/>
      </w:tblGrid>
      <w:tr w14:paraId="6BEC3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vAlign w:val="center"/>
          </w:tcPr>
          <w:p w14:paraId="5B038673">
            <w:pPr>
              <w:spacing w:line="600" w:lineRule="exact"/>
              <w:jc w:val="center"/>
              <w:rPr>
                <w:rFonts w:hint="eastAsia" w:ascii="方正仿宋_GBK" w:eastAsia="方正仿宋_GBK"/>
                <w:sz w:val="32"/>
                <w:szCs w:val="32"/>
              </w:rPr>
            </w:pPr>
            <w:r>
              <w:rPr>
                <w:rFonts w:hint="eastAsia" w:ascii="方正仿宋_GBK" w:eastAsia="方正仿宋_GBK"/>
                <w:sz w:val="32"/>
                <w:szCs w:val="32"/>
              </w:rPr>
              <w:t>起草单位</w:t>
            </w:r>
          </w:p>
        </w:tc>
        <w:tc>
          <w:tcPr>
            <w:tcW w:w="1675" w:type="dxa"/>
            <w:vAlign w:val="center"/>
          </w:tcPr>
          <w:p w14:paraId="2D593DCF">
            <w:pPr>
              <w:spacing w:line="600" w:lineRule="exact"/>
              <w:jc w:val="center"/>
              <w:rPr>
                <w:rFonts w:hint="eastAsia" w:ascii="方正仿宋_GBK" w:eastAsia="方正仿宋_GBK"/>
                <w:sz w:val="32"/>
                <w:szCs w:val="32"/>
              </w:rPr>
            </w:pPr>
            <w:r>
              <w:rPr>
                <w:rFonts w:hint="eastAsia" w:ascii="方正仿宋_GBK" w:eastAsia="方正仿宋_GBK"/>
                <w:sz w:val="32"/>
                <w:szCs w:val="32"/>
              </w:rPr>
              <w:t>起草人</w:t>
            </w:r>
          </w:p>
        </w:tc>
        <w:tc>
          <w:tcPr>
            <w:tcW w:w="2578" w:type="dxa"/>
            <w:vAlign w:val="center"/>
          </w:tcPr>
          <w:p w14:paraId="587CE80D">
            <w:pPr>
              <w:spacing w:line="600" w:lineRule="exact"/>
              <w:jc w:val="center"/>
              <w:rPr>
                <w:rFonts w:hint="eastAsia" w:ascii="方正仿宋_GBK" w:eastAsia="方正仿宋_GBK"/>
                <w:sz w:val="32"/>
                <w:szCs w:val="32"/>
              </w:rPr>
            </w:pPr>
            <w:r>
              <w:rPr>
                <w:rFonts w:hint="eastAsia" w:ascii="方正仿宋_GBK" w:eastAsia="方正仿宋_GBK"/>
                <w:sz w:val="32"/>
                <w:szCs w:val="32"/>
              </w:rPr>
              <w:t>职称/职务</w:t>
            </w:r>
          </w:p>
        </w:tc>
        <w:tc>
          <w:tcPr>
            <w:tcW w:w="2883" w:type="dxa"/>
            <w:vAlign w:val="center"/>
          </w:tcPr>
          <w:p w14:paraId="2CCB7099">
            <w:pPr>
              <w:spacing w:line="600" w:lineRule="exact"/>
              <w:jc w:val="center"/>
              <w:rPr>
                <w:rFonts w:hint="eastAsia" w:ascii="方正仿宋_GBK" w:eastAsia="方正仿宋_GBK"/>
                <w:sz w:val="32"/>
                <w:szCs w:val="32"/>
              </w:rPr>
            </w:pPr>
            <w:r>
              <w:rPr>
                <w:rFonts w:hint="eastAsia" w:ascii="方正仿宋_GBK" w:eastAsia="方正仿宋_GBK"/>
                <w:sz w:val="32"/>
                <w:szCs w:val="32"/>
              </w:rPr>
              <w:t>分工</w:t>
            </w:r>
          </w:p>
        </w:tc>
      </w:tr>
      <w:tr w14:paraId="0D74E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vMerge w:val="restart"/>
            <w:vAlign w:val="center"/>
          </w:tcPr>
          <w:p w14:paraId="6357601A">
            <w:pPr>
              <w:spacing w:line="600" w:lineRule="exact"/>
              <w:jc w:val="center"/>
              <w:rPr>
                <w:rFonts w:hint="eastAsia" w:ascii="方正仿宋_GBK" w:eastAsia="方正仿宋_GBK"/>
                <w:sz w:val="32"/>
                <w:szCs w:val="32"/>
              </w:rPr>
            </w:pPr>
            <w:r>
              <w:rPr>
                <w:rFonts w:hint="eastAsia" w:ascii="方正仿宋_GBK" w:eastAsia="方正仿宋_GBK"/>
                <w:sz w:val="32"/>
                <w:szCs w:val="32"/>
              </w:rPr>
              <w:t>南通市卫生健康</w:t>
            </w:r>
          </w:p>
          <w:p w14:paraId="2E6F7A34">
            <w:pPr>
              <w:spacing w:line="600" w:lineRule="exact"/>
              <w:jc w:val="center"/>
              <w:rPr>
                <w:rFonts w:hint="eastAsia" w:ascii="方正仿宋_GBK" w:eastAsia="方正仿宋_GBK"/>
                <w:sz w:val="32"/>
                <w:szCs w:val="32"/>
              </w:rPr>
            </w:pPr>
            <w:r>
              <w:rPr>
                <w:rFonts w:hint="eastAsia" w:ascii="方正仿宋_GBK" w:eastAsia="方正仿宋_GBK"/>
                <w:sz w:val="32"/>
                <w:szCs w:val="32"/>
              </w:rPr>
              <w:t>委员会</w:t>
            </w:r>
          </w:p>
        </w:tc>
        <w:tc>
          <w:tcPr>
            <w:tcW w:w="1675" w:type="dxa"/>
            <w:vAlign w:val="center"/>
          </w:tcPr>
          <w:p w14:paraId="7199D7EC">
            <w:pPr>
              <w:spacing w:line="600" w:lineRule="exact"/>
              <w:jc w:val="center"/>
              <w:rPr>
                <w:rFonts w:hint="eastAsia" w:ascii="方正仿宋_GBK" w:eastAsia="方正仿宋_GBK"/>
                <w:sz w:val="32"/>
                <w:szCs w:val="32"/>
              </w:rPr>
            </w:pPr>
            <w:r>
              <w:rPr>
                <w:rFonts w:hint="eastAsia" w:ascii="方正仿宋_GBK" w:eastAsia="方正仿宋_GBK"/>
                <w:sz w:val="32"/>
                <w:szCs w:val="32"/>
              </w:rPr>
              <w:t>吴徐明</w:t>
            </w:r>
          </w:p>
        </w:tc>
        <w:tc>
          <w:tcPr>
            <w:tcW w:w="2578" w:type="dxa"/>
            <w:vAlign w:val="center"/>
          </w:tcPr>
          <w:p w14:paraId="3D339189">
            <w:pPr>
              <w:spacing w:line="600" w:lineRule="exact"/>
              <w:jc w:val="center"/>
              <w:rPr>
                <w:rFonts w:hint="eastAsia" w:ascii="方正仿宋_GBK" w:eastAsia="方正仿宋_GBK"/>
                <w:sz w:val="32"/>
                <w:szCs w:val="32"/>
              </w:rPr>
            </w:pPr>
            <w:r>
              <w:rPr>
                <w:rFonts w:hint="eastAsia" w:ascii="方正仿宋_GBK" w:eastAsia="方正仿宋_GBK"/>
                <w:sz w:val="32"/>
                <w:szCs w:val="32"/>
              </w:rPr>
              <w:t>副主任、疾控局局长</w:t>
            </w:r>
          </w:p>
        </w:tc>
        <w:tc>
          <w:tcPr>
            <w:tcW w:w="2883" w:type="dxa"/>
            <w:vMerge w:val="restart"/>
            <w:vAlign w:val="center"/>
          </w:tcPr>
          <w:p w14:paraId="05B23FFC">
            <w:pPr>
              <w:spacing w:line="600" w:lineRule="exact"/>
              <w:rPr>
                <w:rFonts w:hint="eastAsia" w:ascii="方正仿宋_GBK" w:eastAsia="方正仿宋_GBK"/>
                <w:sz w:val="32"/>
                <w:szCs w:val="32"/>
              </w:rPr>
            </w:pPr>
            <w:r>
              <w:rPr>
                <w:rFonts w:hint="eastAsia" w:ascii="方正仿宋_GBK" w:eastAsia="方正仿宋_GBK"/>
                <w:sz w:val="32"/>
                <w:szCs w:val="32"/>
              </w:rPr>
              <w:t>顶层设计、组织协调、标准文本及征求意见审核等</w:t>
            </w:r>
          </w:p>
        </w:tc>
      </w:tr>
      <w:tr w14:paraId="619EB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vMerge w:val="continue"/>
            <w:vAlign w:val="center"/>
          </w:tcPr>
          <w:p w14:paraId="4434714E">
            <w:pPr>
              <w:spacing w:line="600" w:lineRule="exact"/>
              <w:jc w:val="center"/>
              <w:rPr>
                <w:rFonts w:hint="eastAsia" w:ascii="方正仿宋_GBK" w:eastAsia="方正仿宋_GBK"/>
                <w:sz w:val="32"/>
                <w:szCs w:val="32"/>
              </w:rPr>
            </w:pPr>
          </w:p>
        </w:tc>
        <w:tc>
          <w:tcPr>
            <w:tcW w:w="1675" w:type="dxa"/>
            <w:vAlign w:val="center"/>
          </w:tcPr>
          <w:p w14:paraId="2014345E">
            <w:pPr>
              <w:spacing w:line="600" w:lineRule="exact"/>
              <w:jc w:val="center"/>
              <w:rPr>
                <w:rFonts w:hint="eastAsia" w:ascii="方正仿宋_GBK" w:eastAsia="方正仿宋_GBK"/>
                <w:sz w:val="32"/>
                <w:szCs w:val="32"/>
              </w:rPr>
            </w:pPr>
            <w:r>
              <w:rPr>
                <w:rFonts w:hint="eastAsia" w:ascii="方正仿宋_GBK" w:eastAsia="方正仿宋_GBK"/>
                <w:sz w:val="32"/>
                <w:szCs w:val="32"/>
              </w:rPr>
              <w:t>罗  蓓</w:t>
            </w:r>
          </w:p>
        </w:tc>
        <w:tc>
          <w:tcPr>
            <w:tcW w:w="2578" w:type="dxa"/>
            <w:vAlign w:val="center"/>
          </w:tcPr>
          <w:p w14:paraId="789534E1">
            <w:pPr>
              <w:spacing w:line="600" w:lineRule="exact"/>
              <w:jc w:val="center"/>
              <w:rPr>
                <w:rFonts w:hint="eastAsia" w:ascii="方正仿宋_GBK" w:eastAsia="方正仿宋_GBK"/>
                <w:sz w:val="32"/>
                <w:szCs w:val="32"/>
              </w:rPr>
            </w:pPr>
            <w:r>
              <w:rPr>
                <w:rFonts w:hint="eastAsia" w:ascii="方正仿宋_GBK" w:eastAsia="方正仿宋_GBK"/>
                <w:sz w:val="32"/>
                <w:szCs w:val="32"/>
              </w:rPr>
              <w:t>综合监督处处长</w:t>
            </w:r>
          </w:p>
        </w:tc>
        <w:tc>
          <w:tcPr>
            <w:tcW w:w="2883" w:type="dxa"/>
            <w:vMerge w:val="continue"/>
            <w:vAlign w:val="center"/>
          </w:tcPr>
          <w:p w14:paraId="218402DB">
            <w:pPr>
              <w:spacing w:line="600" w:lineRule="exact"/>
              <w:rPr>
                <w:rFonts w:hint="eastAsia" w:ascii="方正仿宋_GBK" w:eastAsia="方正仿宋_GBK"/>
                <w:sz w:val="32"/>
                <w:szCs w:val="32"/>
              </w:rPr>
            </w:pPr>
          </w:p>
        </w:tc>
      </w:tr>
      <w:tr w14:paraId="6DB31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vMerge w:val="restart"/>
            <w:vAlign w:val="center"/>
          </w:tcPr>
          <w:p w14:paraId="04A2D80A">
            <w:pPr>
              <w:spacing w:line="600" w:lineRule="exact"/>
              <w:jc w:val="center"/>
              <w:rPr>
                <w:rFonts w:hint="eastAsia" w:ascii="方正仿宋_GBK" w:eastAsia="方正仿宋_GBK"/>
                <w:sz w:val="32"/>
                <w:szCs w:val="32"/>
              </w:rPr>
            </w:pPr>
            <w:r>
              <w:rPr>
                <w:rFonts w:hint="eastAsia" w:ascii="方正仿宋_GBK" w:eastAsia="方正仿宋_GBK"/>
                <w:sz w:val="32"/>
                <w:szCs w:val="32"/>
              </w:rPr>
              <w:t>南通市卫生监督所</w:t>
            </w:r>
          </w:p>
        </w:tc>
        <w:tc>
          <w:tcPr>
            <w:tcW w:w="1675" w:type="dxa"/>
            <w:vAlign w:val="center"/>
          </w:tcPr>
          <w:p w14:paraId="7205E15F">
            <w:pPr>
              <w:spacing w:line="600" w:lineRule="exact"/>
              <w:jc w:val="center"/>
              <w:rPr>
                <w:rFonts w:hint="eastAsia" w:ascii="方正仿宋_GBK" w:eastAsia="方正仿宋_GBK"/>
                <w:sz w:val="32"/>
                <w:szCs w:val="32"/>
              </w:rPr>
            </w:pPr>
            <w:r>
              <w:rPr>
                <w:rFonts w:hint="eastAsia" w:ascii="方正仿宋_GBK" w:eastAsia="方正仿宋_GBK"/>
                <w:sz w:val="32"/>
                <w:szCs w:val="32"/>
              </w:rPr>
              <w:t>徐  飞</w:t>
            </w:r>
          </w:p>
        </w:tc>
        <w:tc>
          <w:tcPr>
            <w:tcW w:w="2578" w:type="dxa"/>
            <w:vAlign w:val="center"/>
          </w:tcPr>
          <w:p w14:paraId="114952C0">
            <w:pPr>
              <w:spacing w:line="600" w:lineRule="exact"/>
              <w:jc w:val="center"/>
              <w:rPr>
                <w:rFonts w:hint="eastAsia" w:ascii="方正仿宋_GBK" w:eastAsia="方正仿宋_GBK"/>
                <w:sz w:val="32"/>
                <w:szCs w:val="32"/>
              </w:rPr>
            </w:pPr>
            <w:r>
              <w:rPr>
                <w:rFonts w:hint="eastAsia" w:ascii="方正仿宋_GBK" w:eastAsia="方正仿宋_GBK"/>
                <w:sz w:val="32"/>
                <w:szCs w:val="32"/>
              </w:rPr>
              <w:t>所长</w:t>
            </w:r>
          </w:p>
        </w:tc>
        <w:tc>
          <w:tcPr>
            <w:tcW w:w="2883" w:type="dxa"/>
            <w:vMerge w:val="restart"/>
            <w:vAlign w:val="center"/>
          </w:tcPr>
          <w:p w14:paraId="4B65D2C9">
            <w:pPr>
              <w:spacing w:line="600" w:lineRule="exact"/>
              <w:rPr>
                <w:rFonts w:hint="eastAsia" w:ascii="方正仿宋_GBK" w:eastAsia="方正仿宋_GBK"/>
                <w:sz w:val="32"/>
                <w:szCs w:val="32"/>
              </w:rPr>
            </w:pPr>
            <w:r>
              <w:rPr>
                <w:rFonts w:hint="eastAsia" w:ascii="方正仿宋_GBK" w:eastAsia="方正仿宋_GBK"/>
                <w:sz w:val="32"/>
                <w:szCs w:val="32"/>
              </w:rPr>
              <w:t>标准框架设计、标准文本和编制说明起草、征求意见整理汇总等</w:t>
            </w:r>
          </w:p>
        </w:tc>
      </w:tr>
      <w:tr w14:paraId="75BAD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vMerge w:val="continue"/>
            <w:vAlign w:val="center"/>
          </w:tcPr>
          <w:p w14:paraId="0FEAD43A">
            <w:pPr>
              <w:spacing w:line="600" w:lineRule="exact"/>
              <w:jc w:val="center"/>
              <w:rPr>
                <w:rFonts w:hint="eastAsia" w:ascii="方正仿宋_GBK" w:eastAsia="方正仿宋_GBK"/>
                <w:sz w:val="32"/>
                <w:szCs w:val="32"/>
              </w:rPr>
            </w:pPr>
          </w:p>
        </w:tc>
        <w:tc>
          <w:tcPr>
            <w:tcW w:w="1675" w:type="dxa"/>
            <w:vAlign w:val="center"/>
          </w:tcPr>
          <w:p w14:paraId="61195A3E">
            <w:pPr>
              <w:spacing w:line="600" w:lineRule="exact"/>
              <w:jc w:val="center"/>
              <w:rPr>
                <w:rFonts w:hint="eastAsia" w:ascii="方正仿宋_GBK" w:eastAsia="方正仿宋_GBK"/>
                <w:sz w:val="32"/>
                <w:szCs w:val="32"/>
              </w:rPr>
            </w:pPr>
            <w:r>
              <w:rPr>
                <w:rFonts w:hint="eastAsia" w:ascii="方正仿宋_GBK" w:eastAsia="方正仿宋_GBK"/>
                <w:sz w:val="32"/>
                <w:szCs w:val="32"/>
              </w:rPr>
              <w:t>陈晓东</w:t>
            </w:r>
          </w:p>
        </w:tc>
        <w:tc>
          <w:tcPr>
            <w:tcW w:w="2578" w:type="dxa"/>
            <w:vAlign w:val="center"/>
          </w:tcPr>
          <w:p w14:paraId="304E2BF9">
            <w:pPr>
              <w:spacing w:line="600" w:lineRule="exact"/>
              <w:jc w:val="center"/>
              <w:rPr>
                <w:rFonts w:hint="eastAsia" w:ascii="方正仿宋_GBK" w:eastAsia="方正仿宋_GBK"/>
                <w:sz w:val="32"/>
                <w:szCs w:val="32"/>
              </w:rPr>
            </w:pPr>
            <w:r>
              <w:rPr>
                <w:rFonts w:hint="eastAsia" w:ascii="方正仿宋_GBK" w:eastAsia="方正仿宋_GBK"/>
                <w:sz w:val="32"/>
                <w:szCs w:val="32"/>
              </w:rPr>
              <w:t>副所长</w:t>
            </w:r>
          </w:p>
        </w:tc>
        <w:tc>
          <w:tcPr>
            <w:tcW w:w="2883" w:type="dxa"/>
            <w:vMerge w:val="continue"/>
            <w:vAlign w:val="center"/>
          </w:tcPr>
          <w:p w14:paraId="6AE76276">
            <w:pPr>
              <w:spacing w:line="600" w:lineRule="exact"/>
              <w:rPr>
                <w:rFonts w:hint="eastAsia" w:ascii="方正仿宋_GBK" w:eastAsia="方正仿宋_GBK"/>
                <w:sz w:val="32"/>
                <w:szCs w:val="32"/>
              </w:rPr>
            </w:pPr>
          </w:p>
        </w:tc>
      </w:tr>
      <w:tr w14:paraId="6A92D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vMerge w:val="continue"/>
            <w:vAlign w:val="center"/>
          </w:tcPr>
          <w:p w14:paraId="18889F1B">
            <w:pPr>
              <w:spacing w:line="600" w:lineRule="exact"/>
              <w:jc w:val="center"/>
              <w:rPr>
                <w:rFonts w:hint="eastAsia" w:ascii="方正仿宋_GBK" w:eastAsia="方正仿宋_GBK"/>
                <w:sz w:val="32"/>
                <w:szCs w:val="32"/>
              </w:rPr>
            </w:pPr>
          </w:p>
        </w:tc>
        <w:tc>
          <w:tcPr>
            <w:tcW w:w="1675" w:type="dxa"/>
            <w:vAlign w:val="center"/>
          </w:tcPr>
          <w:p w14:paraId="41E56D7D">
            <w:pPr>
              <w:spacing w:line="600" w:lineRule="exact"/>
              <w:jc w:val="center"/>
              <w:rPr>
                <w:rFonts w:hint="eastAsia" w:ascii="方正仿宋_GBK" w:eastAsia="方正仿宋_GBK"/>
                <w:sz w:val="32"/>
                <w:szCs w:val="32"/>
              </w:rPr>
            </w:pPr>
            <w:r>
              <w:rPr>
                <w:rFonts w:hint="eastAsia" w:ascii="方正仿宋_GBK" w:eastAsia="方正仿宋_GBK"/>
                <w:sz w:val="32"/>
                <w:szCs w:val="32"/>
              </w:rPr>
              <w:t>陆宇豪</w:t>
            </w:r>
          </w:p>
        </w:tc>
        <w:tc>
          <w:tcPr>
            <w:tcW w:w="2578" w:type="dxa"/>
            <w:vAlign w:val="center"/>
          </w:tcPr>
          <w:p w14:paraId="1D607255">
            <w:pPr>
              <w:spacing w:line="600" w:lineRule="exact"/>
              <w:jc w:val="center"/>
              <w:rPr>
                <w:rFonts w:hint="eastAsia" w:ascii="方正仿宋_GBK" w:eastAsia="方正仿宋_GBK"/>
                <w:sz w:val="32"/>
                <w:szCs w:val="32"/>
              </w:rPr>
            </w:pPr>
            <w:r>
              <w:rPr>
                <w:rFonts w:hint="eastAsia" w:ascii="方正仿宋_GBK" w:eastAsia="方正仿宋_GBK"/>
                <w:sz w:val="32"/>
                <w:szCs w:val="32"/>
              </w:rPr>
              <w:t>网络高级工程师</w:t>
            </w:r>
          </w:p>
        </w:tc>
        <w:tc>
          <w:tcPr>
            <w:tcW w:w="2883" w:type="dxa"/>
            <w:vMerge w:val="continue"/>
            <w:vAlign w:val="center"/>
          </w:tcPr>
          <w:p w14:paraId="0468C808">
            <w:pPr>
              <w:spacing w:line="600" w:lineRule="exact"/>
              <w:rPr>
                <w:rFonts w:hint="eastAsia" w:ascii="方正仿宋_GBK" w:eastAsia="方正仿宋_GBK"/>
                <w:sz w:val="32"/>
                <w:szCs w:val="32"/>
              </w:rPr>
            </w:pPr>
          </w:p>
        </w:tc>
      </w:tr>
      <w:tr w14:paraId="4D895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vMerge w:val="continue"/>
            <w:vAlign w:val="center"/>
          </w:tcPr>
          <w:p w14:paraId="75C1BD30">
            <w:pPr>
              <w:spacing w:line="600" w:lineRule="exact"/>
              <w:jc w:val="center"/>
              <w:rPr>
                <w:rFonts w:hint="eastAsia" w:ascii="方正仿宋_GBK" w:eastAsia="方正仿宋_GBK"/>
                <w:sz w:val="32"/>
                <w:szCs w:val="32"/>
              </w:rPr>
            </w:pPr>
          </w:p>
        </w:tc>
        <w:tc>
          <w:tcPr>
            <w:tcW w:w="1675" w:type="dxa"/>
            <w:vAlign w:val="center"/>
          </w:tcPr>
          <w:p w14:paraId="6E5B1EF4">
            <w:pPr>
              <w:spacing w:line="600" w:lineRule="exact"/>
              <w:jc w:val="center"/>
              <w:rPr>
                <w:rFonts w:hint="eastAsia" w:ascii="方正仿宋_GBK" w:eastAsia="方正仿宋_GBK"/>
                <w:sz w:val="32"/>
                <w:szCs w:val="32"/>
              </w:rPr>
            </w:pPr>
            <w:r>
              <w:rPr>
                <w:rFonts w:hint="eastAsia" w:ascii="方正仿宋_GBK" w:eastAsia="方正仿宋_GBK"/>
                <w:sz w:val="32"/>
                <w:szCs w:val="32"/>
              </w:rPr>
              <w:t>陈  敏</w:t>
            </w:r>
          </w:p>
        </w:tc>
        <w:tc>
          <w:tcPr>
            <w:tcW w:w="2578" w:type="dxa"/>
            <w:vAlign w:val="center"/>
          </w:tcPr>
          <w:p w14:paraId="36395AFB">
            <w:pPr>
              <w:spacing w:line="600" w:lineRule="exact"/>
              <w:jc w:val="center"/>
              <w:rPr>
                <w:rFonts w:hint="eastAsia" w:ascii="方正仿宋_GBK" w:eastAsia="方正仿宋_GBK"/>
                <w:sz w:val="32"/>
                <w:szCs w:val="32"/>
              </w:rPr>
            </w:pPr>
            <w:r>
              <w:rPr>
                <w:rFonts w:hint="eastAsia" w:ascii="方正仿宋_GBK" w:eastAsia="方正仿宋_GBK"/>
                <w:sz w:val="32"/>
                <w:szCs w:val="32"/>
              </w:rPr>
              <w:t>综合业务科科长</w:t>
            </w:r>
          </w:p>
        </w:tc>
        <w:tc>
          <w:tcPr>
            <w:tcW w:w="2883" w:type="dxa"/>
            <w:vMerge w:val="continue"/>
            <w:vAlign w:val="center"/>
          </w:tcPr>
          <w:p w14:paraId="2E29E642">
            <w:pPr>
              <w:spacing w:line="600" w:lineRule="exact"/>
              <w:rPr>
                <w:rFonts w:hint="eastAsia" w:ascii="方正仿宋_GBK" w:eastAsia="方正仿宋_GBK"/>
                <w:sz w:val="32"/>
                <w:szCs w:val="32"/>
              </w:rPr>
            </w:pPr>
          </w:p>
        </w:tc>
      </w:tr>
      <w:tr w14:paraId="2099F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vMerge w:val="continue"/>
            <w:vAlign w:val="center"/>
          </w:tcPr>
          <w:p w14:paraId="36DD2CF6">
            <w:pPr>
              <w:spacing w:line="600" w:lineRule="exact"/>
              <w:jc w:val="center"/>
              <w:rPr>
                <w:rFonts w:hint="eastAsia" w:ascii="方正仿宋_GBK" w:eastAsia="方正仿宋_GBK"/>
                <w:sz w:val="32"/>
                <w:szCs w:val="32"/>
              </w:rPr>
            </w:pPr>
          </w:p>
        </w:tc>
        <w:tc>
          <w:tcPr>
            <w:tcW w:w="1675" w:type="dxa"/>
            <w:vAlign w:val="center"/>
          </w:tcPr>
          <w:p w14:paraId="48EEBF31">
            <w:pPr>
              <w:spacing w:line="600" w:lineRule="exact"/>
              <w:jc w:val="center"/>
              <w:rPr>
                <w:rFonts w:hint="eastAsia" w:ascii="方正仿宋_GBK" w:eastAsia="方正仿宋_GBK"/>
                <w:sz w:val="32"/>
                <w:szCs w:val="32"/>
              </w:rPr>
            </w:pPr>
            <w:r>
              <w:rPr>
                <w:rFonts w:hint="eastAsia" w:ascii="方正仿宋_GBK" w:eastAsia="方正仿宋_GBK"/>
                <w:sz w:val="32"/>
                <w:szCs w:val="32"/>
              </w:rPr>
              <w:t>陈  潇</w:t>
            </w:r>
          </w:p>
        </w:tc>
        <w:tc>
          <w:tcPr>
            <w:tcW w:w="2578" w:type="dxa"/>
            <w:vAlign w:val="center"/>
          </w:tcPr>
          <w:p w14:paraId="40ED8D02">
            <w:pPr>
              <w:spacing w:line="600" w:lineRule="exact"/>
              <w:jc w:val="center"/>
              <w:rPr>
                <w:rFonts w:hint="eastAsia" w:ascii="方正仿宋_GBK" w:eastAsia="方正仿宋_GBK"/>
                <w:sz w:val="32"/>
                <w:szCs w:val="32"/>
              </w:rPr>
            </w:pPr>
            <w:r>
              <w:rPr>
                <w:rFonts w:hint="eastAsia" w:ascii="方正仿宋_GBK" w:eastAsia="方正仿宋_GBK"/>
                <w:sz w:val="32"/>
                <w:szCs w:val="32"/>
              </w:rPr>
              <w:t>综合业务科科员</w:t>
            </w:r>
          </w:p>
        </w:tc>
        <w:tc>
          <w:tcPr>
            <w:tcW w:w="2883" w:type="dxa"/>
            <w:vMerge w:val="continue"/>
            <w:vAlign w:val="center"/>
          </w:tcPr>
          <w:p w14:paraId="4383D8E1">
            <w:pPr>
              <w:spacing w:line="600" w:lineRule="exact"/>
              <w:rPr>
                <w:rFonts w:hint="eastAsia" w:ascii="方正仿宋_GBK" w:eastAsia="方正仿宋_GBK"/>
                <w:sz w:val="32"/>
                <w:szCs w:val="32"/>
              </w:rPr>
            </w:pPr>
          </w:p>
        </w:tc>
      </w:tr>
      <w:tr w14:paraId="5317D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vMerge w:val="continue"/>
            <w:vAlign w:val="center"/>
          </w:tcPr>
          <w:p w14:paraId="6D33B325">
            <w:pPr>
              <w:spacing w:line="600" w:lineRule="exact"/>
              <w:jc w:val="center"/>
              <w:rPr>
                <w:rFonts w:hint="eastAsia" w:ascii="方正仿宋_GBK" w:eastAsia="方正仿宋_GBK"/>
                <w:sz w:val="32"/>
                <w:szCs w:val="32"/>
              </w:rPr>
            </w:pPr>
          </w:p>
        </w:tc>
        <w:tc>
          <w:tcPr>
            <w:tcW w:w="1675" w:type="dxa"/>
            <w:vAlign w:val="center"/>
          </w:tcPr>
          <w:p w14:paraId="02BA51D5">
            <w:pPr>
              <w:spacing w:line="600" w:lineRule="exact"/>
              <w:jc w:val="center"/>
              <w:rPr>
                <w:rFonts w:hint="eastAsia" w:ascii="方正仿宋_GBK" w:eastAsia="方正仿宋_GBK"/>
                <w:sz w:val="32"/>
                <w:szCs w:val="32"/>
              </w:rPr>
            </w:pPr>
            <w:r>
              <w:rPr>
                <w:rFonts w:hint="eastAsia" w:ascii="方正仿宋_GBK" w:eastAsia="方正仿宋_GBK"/>
                <w:sz w:val="32"/>
                <w:szCs w:val="32"/>
              </w:rPr>
              <w:t>范一夫</w:t>
            </w:r>
          </w:p>
        </w:tc>
        <w:tc>
          <w:tcPr>
            <w:tcW w:w="2578" w:type="dxa"/>
            <w:vAlign w:val="center"/>
          </w:tcPr>
          <w:p w14:paraId="7E0C7C6D">
            <w:pPr>
              <w:spacing w:line="600" w:lineRule="exact"/>
              <w:jc w:val="center"/>
              <w:rPr>
                <w:rFonts w:hint="eastAsia" w:ascii="方正仿宋_GBK" w:eastAsia="方正仿宋_GBK"/>
                <w:sz w:val="32"/>
                <w:szCs w:val="32"/>
              </w:rPr>
            </w:pPr>
            <w:r>
              <w:rPr>
                <w:rFonts w:hint="eastAsia" w:ascii="方正仿宋_GBK" w:eastAsia="方正仿宋_GBK"/>
                <w:sz w:val="32"/>
                <w:szCs w:val="32"/>
              </w:rPr>
              <w:t>综合业务科科员</w:t>
            </w:r>
          </w:p>
        </w:tc>
        <w:tc>
          <w:tcPr>
            <w:tcW w:w="2883" w:type="dxa"/>
            <w:vMerge w:val="continue"/>
            <w:vAlign w:val="center"/>
          </w:tcPr>
          <w:p w14:paraId="533B8EA6">
            <w:pPr>
              <w:spacing w:line="600" w:lineRule="exact"/>
              <w:rPr>
                <w:rFonts w:hint="eastAsia" w:ascii="方正仿宋_GBK" w:eastAsia="方正仿宋_GBK"/>
                <w:sz w:val="32"/>
                <w:szCs w:val="32"/>
              </w:rPr>
            </w:pPr>
          </w:p>
        </w:tc>
      </w:tr>
      <w:tr w14:paraId="234C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vMerge w:val="continue"/>
            <w:vAlign w:val="center"/>
          </w:tcPr>
          <w:p w14:paraId="47AB6C5D">
            <w:pPr>
              <w:spacing w:line="600" w:lineRule="exact"/>
              <w:jc w:val="center"/>
              <w:rPr>
                <w:rFonts w:hint="eastAsia" w:ascii="方正仿宋_GBK" w:eastAsia="方正仿宋_GBK"/>
                <w:sz w:val="32"/>
                <w:szCs w:val="32"/>
              </w:rPr>
            </w:pPr>
          </w:p>
        </w:tc>
        <w:tc>
          <w:tcPr>
            <w:tcW w:w="1675" w:type="dxa"/>
            <w:vAlign w:val="center"/>
          </w:tcPr>
          <w:p w14:paraId="50CA51D3">
            <w:pPr>
              <w:spacing w:line="600" w:lineRule="exact"/>
              <w:jc w:val="center"/>
              <w:rPr>
                <w:rFonts w:hint="eastAsia" w:ascii="方正仿宋_GBK" w:eastAsia="方正仿宋_GBK"/>
                <w:sz w:val="32"/>
                <w:szCs w:val="32"/>
              </w:rPr>
            </w:pPr>
            <w:r>
              <w:rPr>
                <w:rFonts w:hint="eastAsia" w:ascii="方正仿宋_GBK" w:eastAsia="方正仿宋_GBK"/>
                <w:sz w:val="32"/>
                <w:szCs w:val="32"/>
              </w:rPr>
              <w:t>王奎梅</w:t>
            </w:r>
          </w:p>
        </w:tc>
        <w:tc>
          <w:tcPr>
            <w:tcW w:w="2578" w:type="dxa"/>
            <w:vAlign w:val="center"/>
          </w:tcPr>
          <w:p w14:paraId="77C5DA9C">
            <w:pPr>
              <w:spacing w:line="600" w:lineRule="exact"/>
              <w:jc w:val="center"/>
              <w:rPr>
                <w:rFonts w:hint="eastAsia" w:ascii="方正仿宋_GBK" w:eastAsia="方正仿宋_GBK"/>
                <w:sz w:val="32"/>
                <w:szCs w:val="32"/>
              </w:rPr>
            </w:pPr>
            <w:r>
              <w:rPr>
                <w:rFonts w:hint="eastAsia" w:ascii="方正仿宋_GBK" w:eastAsia="方正仿宋_GBK"/>
                <w:sz w:val="32"/>
                <w:szCs w:val="32"/>
              </w:rPr>
              <w:t>综合业务科科员</w:t>
            </w:r>
            <w:bookmarkStart w:id="11" w:name="_GoBack"/>
            <w:bookmarkEnd w:id="11"/>
          </w:p>
        </w:tc>
        <w:tc>
          <w:tcPr>
            <w:tcW w:w="2883" w:type="dxa"/>
            <w:vMerge w:val="continue"/>
            <w:vAlign w:val="center"/>
          </w:tcPr>
          <w:p w14:paraId="75A4A134">
            <w:pPr>
              <w:spacing w:line="600" w:lineRule="exact"/>
              <w:rPr>
                <w:rFonts w:hint="eastAsia" w:ascii="方正仿宋_GBK" w:eastAsia="方正仿宋_GBK"/>
                <w:sz w:val="32"/>
                <w:szCs w:val="32"/>
              </w:rPr>
            </w:pPr>
          </w:p>
        </w:tc>
      </w:tr>
      <w:tr w14:paraId="1C309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vAlign w:val="center"/>
          </w:tcPr>
          <w:p w14:paraId="4BC18A7A">
            <w:pPr>
              <w:spacing w:line="480" w:lineRule="exact"/>
              <w:jc w:val="center"/>
              <w:rPr>
                <w:rFonts w:hint="eastAsia" w:ascii="方正仿宋_GBK" w:eastAsia="方正仿宋_GBK"/>
                <w:sz w:val="32"/>
                <w:szCs w:val="32"/>
              </w:rPr>
            </w:pPr>
            <w:r>
              <w:rPr>
                <w:rFonts w:hint="eastAsia" w:ascii="方正仿宋_GBK" w:eastAsia="方正仿宋_GBK"/>
                <w:sz w:val="32"/>
                <w:szCs w:val="32"/>
              </w:rPr>
              <w:t>南通市质量技术和标准化中心</w:t>
            </w:r>
          </w:p>
        </w:tc>
        <w:tc>
          <w:tcPr>
            <w:tcW w:w="1675" w:type="dxa"/>
            <w:vAlign w:val="center"/>
          </w:tcPr>
          <w:p w14:paraId="1BF6AE19">
            <w:pPr>
              <w:spacing w:line="600" w:lineRule="exact"/>
              <w:jc w:val="center"/>
              <w:rPr>
                <w:rFonts w:hint="eastAsia" w:ascii="方正仿宋_GBK" w:eastAsia="方正仿宋_GBK"/>
                <w:sz w:val="32"/>
                <w:szCs w:val="32"/>
              </w:rPr>
            </w:pPr>
            <w:r>
              <w:rPr>
                <w:rFonts w:hint="eastAsia" w:ascii="方正仿宋_GBK" w:eastAsia="方正仿宋_GBK"/>
                <w:sz w:val="32"/>
                <w:szCs w:val="32"/>
              </w:rPr>
              <w:t>朱伟军</w:t>
            </w:r>
          </w:p>
        </w:tc>
        <w:tc>
          <w:tcPr>
            <w:tcW w:w="2578" w:type="dxa"/>
            <w:vAlign w:val="center"/>
          </w:tcPr>
          <w:p w14:paraId="1BB23D4F">
            <w:pPr>
              <w:spacing w:line="600" w:lineRule="exact"/>
              <w:jc w:val="center"/>
              <w:rPr>
                <w:rFonts w:hint="eastAsia" w:ascii="方正仿宋_GBK" w:eastAsia="方正仿宋_GBK"/>
                <w:sz w:val="32"/>
                <w:szCs w:val="32"/>
              </w:rPr>
            </w:pPr>
            <w:r>
              <w:rPr>
                <w:rFonts w:hint="eastAsia" w:ascii="方正仿宋_GBK" w:eastAsia="方正仿宋_GBK"/>
                <w:sz w:val="32"/>
                <w:szCs w:val="32"/>
              </w:rPr>
              <w:t>高级工程师</w:t>
            </w:r>
          </w:p>
        </w:tc>
        <w:tc>
          <w:tcPr>
            <w:tcW w:w="2883" w:type="dxa"/>
            <w:vMerge w:val="restart"/>
            <w:vAlign w:val="center"/>
          </w:tcPr>
          <w:p w14:paraId="57D65C81">
            <w:pPr>
              <w:spacing w:line="600" w:lineRule="exact"/>
              <w:rPr>
                <w:rFonts w:hint="eastAsia" w:ascii="方正仿宋_GBK" w:eastAsia="方正仿宋_GBK"/>
                <w:sz w:val="32"/>
                <w:szCs w:val="32"/>
              </w:rPr>
            </w:pPr>
            <w:r>
              <w:rPr>
                <w:rFonts w:hint="eastAsia" w:ascii="方正仿宋_GBK" w:eastAsia="方正仿宋_GBK"/>
                <w:sz w:val="32"/>
                <w:szCs w:val="32"/>
              </w:rPr>
              <w:t>协助完成标准框架、标准文本内容修改等</w:t>
            </w:r>
          </w:p>
        </w:tc>
      </w:tr>
      <w:tr w14:paraId="613B5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vAlign w:val="center"/>
          </w:tcPr>
          <w:p w14:paraId="1992972B">
            <w:pPr>
              <w:spacing w:line="480" w:lineRule="exact"/>
              <w:jc w:val="center"/>
              <w:rPr>
                <w:rFonts w:hint="eastAsia" w:ascii="方正仿宋_GBK" w:eastAsia="方正仿宋_GBK"/>
                <w:sz w:val="32"/>
                <w:szCs w:val="32"/>
              </w:rPr>
            </w:pPr>
            <w:r>
              <w:rPr>
                <w:rFonts w:hint="eastAsia" w:ascii="方正仿宋_GBK" w:eastAsia="方正仿宋_GBK"/>
                <w:sz w:val="32"/>
                <w:szCs w:val="32"/>
              </w:rPr>
              <w:t>南通卫生高等职业技术学校</w:t>
            </w:r>
          </w:p>
        </w:tc>
        <w:tc>
          <w:tcPr>
            <w:tcW w:w="1675" w:type="dxa"/>
            <w:vAlign w:val="center"/>
          </w:tcPr>
          <w:p w14:paraId="10A9C6BE">
            <w:pPr>
              <w:spacing w:line="600" w:lineRule="exact"/>
              <w:jc w:val="center"/>
              <w:rPr>
                <w:rFonts w:hint="eastAsia" w:ascii="方正仿宋_GBK" w:eastAsia="方正仿宋_GBK"/>
                <w:sz w:val="32"/>
                <w:szCs w:val="32"/>
              </w:rPr>
            </w:pPr>
            <w:r>
              <w:rPr>
                <w:rFonts w:hint="eastAsia" w:ascii="方正仿宋_GBK" w:eastAsia="方正仿宋_GBK"/>
                <w:sz w:val="32"/>
                <w:szCs w:val="32"/>
              </w:rPr>
              <w:t>陈玉华</w:t>
            </w:r>
          </w:p>
        </w:tc>
        <w:tc>
          <w:tcPr>
            <w:tcW w:w="2578" w:type="dxa"/>
            <w:vAlign w:val="center"/>
          </w:tcPr>
          <w:p w14:paraId="21A6822A">
            <w:pPr>
              <w:spacing w:line="600" w:lineRule="exact"/>
              <w:jc w:val="center"/>
              <w:rPr>
                <w:rFonts w:hint="eastAsia" w:ascii="方正仿宋_GBK" w:eastAsia="方正仿宋_GBK"/>
                <w:sz w:val="32"/>
                <w:szCs w:val="32"/>
              </w:rPr>
            </w:pPr>
            <w:r>
              <w:rPr>
                <w:rFonts w:hint="eastAsia" w:ascii="方正仿宋_GBK" w:eastAsia="方正仿宋_GBK"/>
                <w:sz w:val="32"/>
                <w:szCs w:val="32"/>
              </w:rPr>
              <w:t>副教授</w:t>
            </w:r>
          </w:p>
        </w:tc>
        <w:tc>
          <w:tcPr>
            <w:tcW w:w="2883" w:type="dxa"/>
            <w:vMerge w:val="continue"/>
            <w:vAlign w:val="center"/>
          </w:tcPr>
          <w:p w14:paraId="19A5CA26">
            <w:pPr>
              <w:spacing w:line="600" w:lineRule="exact"/>
              <w:rPr>
                <w:rFonts w:hint="eastAsia" w:ascii="方正仿宋_GBK" w:eastAsia="方正仿宋_GBK"/>
                <w:sz w:val="32"/>
                <w:szCs w:val="32"/>
              </w:rPr>
            </w:pPr>
          </w:p>
        </w:tc>
      </w:tr>
      <w:tr w14:paraId="75624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vAlign w:val="center"/>
          </w:tcPr>
          <w:p w14:paraId="6481A676">
            <w:pPr>
              <w:spacing w:line="600" w:lineRule="exact"/>
              <w:jc w:val="center"/>
              <w:rPr>
                <w:rFonts w:hint="eastAsia" w:ascii="方正仿宋_GBK" w:eastAsia="方正仿宋_GBK"/>
                <w:sz w:val="32"/>
                <w:szCs w:val="32"/>
              </w:rPr>
            </w:pPr>
            <w:r>
              <w:rPr>
                <w:rFonts w:hint="eastAsia" w:ascii="方正仿宋_GBK" w:eastAsia="方正仿宋_GBK"/>
                <w:sz w:val="32"/>
                <w:szCs w:val="32"/>
              </w:rPr>
              <w:t>南通市中医院</w:t>
            </w:r>
          </w:p>
        </w:tc>
        <w:tc>
          <w:tcPr>
            <w:tcW w:w="1675" w:type="dxa"/>
            <w:vAlign w:val="center"/>
          </w:tcPr>
          <w:p w14:paraId="7614790C">
            <w:pPr>
              <w:spacing w:line="600" w:lineRule="exact"/>
              <w:jc w:val="center"/>
              <w:rPr>
                <w:rFonts w:hint="eastAsia" w:ascii="方正仿宋_GBK" w:eastAsia="方正仿宋_GBK"/>
                <w:sz w:val="32"/>
                <w:szCs w:val="32"/>
              </w:rPr>
            </w:pPr>
            <w:r>
              <w:rPr>
                <w:rFonts w:hint="eastAsia" w:ascii="方正仿宋_GBK" w:eastAsia="方正仿宋_GBK"/>
                <w:sz w:val="32"/>
                <w:szCs w:val="32"/>
              </w:rPr>
              <w:t>苏  敏</w:t>
            </w:r>
          </w:p>
        </w:tc>
        <w:tc>
          <w:tcPr>
            <w:tcW w:w="2578" w:type="dxa"/>
            <w:vAlign w:val="center"/>
          </w:tcPr>
          <w:p w14:paraId="02B8717A">
            <w:pPr>
              <w:spacing w:line="600" w:lineRule="exact"/>
              <w:jc w:val="center"/>
              <w:rPr>
                <w:rFonts w:hint="eastAsia" w:ascii="方正仿宋_GBK" w:eastAsia="方正仿宋_GBK"/>
                <w:sz w:val="32"/>
                <w:szCs w:val="32"/>
              </w:rPr>
            </w:pPr>
            <w:r>
              <w:rPr>
                <w:rFonts w:hint="eastAsia" w:ascii="方正仿宋_GBK" w:eastAsia="方正仿宋_GBK"/>
                <w:sz w:val="32"/>
                <w:szCs w:val="32"/>
              </w:rPr>
              <w:t>主任医师</w:t>
            </w:r>
          </w:p>
        </w:tc>
        <w:tc>
          <w:tcPr>
            <w:tcW w:w="2883" w:type="dxa"/>
            <w:vMerge w:val="continue"/>
            <w:vAlign w:val="center"/>
          </w:tcPr>
          <w:p w14:paraId="53B9325F">
            <w:pPr>
              <w:spacing w:line="600" w:lineRule="exact"/>
              <w:rPr>
                <w:rFonts w:hint="eastAsia" w:ascii="方正仿宋_GBK" w:eastAsia="方正仿宋_GBK"/>
                <w:sz w:val="32"/>
                <w:szCs w:val="32"/>
              </w:rPr>
            </w:pPr>
          </w:p>
        </w:tc>
      </w:tr>
    </w:tbl>
    <w:p w14:paraId="6519F048">
      <w:pPr>
        <w:spacing w:line="590" w:lineRule="exact"/>
        <w:ind w:firstLine="640" w:firstLineChars="200"/>
        <w:jc w:val="left"/>
        <w:rPr>
          <w:rFonts w:eastAsia="方正仿宋_GBK"/>
          <w:sz w:val="32"/>
          <w:szCs w:val="32"/>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黑体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112564"/>
    </w:sdtPr>
    <w:sdtEndPr>
      <w:rPr>
        <w:rFonts w:ascii="Times New Roman" w:hAnsi="Times New Roman" w:cs="Times New Roman"/>
        <w:sz w:val="30"/>
        <w:szCs w:val="30"/>
      </w:rPr>
    </w:sdtEndPr>
    <w:sdtContent>
      <w:p w14:paraId="0BB3CB44">
        <w:pPr>
          <w:pStyle w:val="7"/>
          <w:jc w:val="center"/>
          <w:rPr>
            <w:rFonts w:ascii="Times New Roman" w:hAnsi="Times New Roman" w:cs="Times New Roman"/>
            <w:sz w:val="30"/>
            <w:szCs w:val="30"/>
          </w:rPr>
        </w:pPr>
        <w:r>
          <w:rPr>
            <w:rFonts w:ascii="Times New Roman" w:hAnsi="Times New Roman" w:cs="Times New Roman"/>
            <w:sz w:val="30"/>
            <w:szCs w:val="30"/>
          </w:rPr>
          <w:fldChar w:fldCharType="begin"/>
        </w:r>
        <w:r>
          <w:rPr>
            <w:rFonts w:ascii="Times New Roman" w:hAnsi="Times New Roman" w:cs="Times New Roman"/>
            <w:sz w:val="30"/>
            <w:szCs w:val="30"/>
          </w:rPr>
          <w:instrText xml:space="preserve"> PAGE   \* MERGEFORMAT </w:instrText>
        </w:r>
        <w:r>
          <w:rPr>
            <w:rFonts w:ascii="Times New Roman" w:hAnsi="Times New Roman" w:cs="Times New Roman"/>
            <w:sz w:val="30"/>
            <w:szCs w:val="30"/>
          </w:rPr>
          <w:fldChar w:fldCharType="separate"/>
        </w:r>
        <w:r>
          <w:rPr>
            <w:rFonts w:ascii="Times New Roman" w:hAnsi="Times New Roman" w:cs="Times New Roman"/>
            <w:sz w:val="30"/>
            <w:szCs w:val="30"/>
            <w:lang w:val="zh-CN"/>
          </w:rPr>
          <w:t>-</w:t>
        </w:r>
        <w:r>
          <w:rPr>
            <w:rFonts w:ascii="Times New Roman" w:hAnsi="Times New Roman" w:cs="Times New Roman"/>
            <w:sz w:val="30"/>
            <w:szCs w:val="30"/>
          </w:rPr>
          <w:t xml:space="preserve"> 10 -</w:t>
        </w:r>
        <w:r>
          <w:rPr>
            <w:rFonts w:ascii="Times New Roman" w:hAnsi="Times New Roman" w:cs="Times New Roman"/>
            <w:sz w:val="30"/>
            <w:szCs w:val="30"/>
          </w:rPr>
          <w:fldChar w:fldCharType="end"/>
        </w:r>
      </w:p>
    </w:sdtContent>
  </w:sdt>
  <w:p w14:paraId="297B67BC">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6697D3"/>
    <w:multiLevelType w:val="singleLevel"/>
    <w:tmpl w:val="B56697D3"/>
    <w:lvl w:ilvl="0" w:tentative="0">
      <w:start w:val="9"/>
      <w:numFmt w:val="chineseCounting"/>
      <w:suff w:val="nothing"/>
      <w:lvlText w:val="%1、"/>
      <w:lvlJc w:val="left"/>
      <w:rPr>
        <w:rFonts w:hint="eastAsia"/>
      </w:rPr>
    </w:lvl>
  </w:abstractNum>
  <w:abstractNum w:abstractNumId="1">
    <w:nsid w:val="176651E8"/>
    <w:multiLevelType w:val="multilevel"/>
    <w:tmpl w:val="176651E8"/>
    <w:lvl w:ilvl="0" w:tentative="0">
      <w:start w:val="4"/>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21"/>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I1NGQ4MDY4NjMxYWVlMzc3ODM2NDE0MmU1ODUxYzYifQ=="/>
    <w:docVar w:name="KSO_WPS_MARK_KEY" w:val="30b62868-969b-49f6-a8be-ea5250513f7c"/>
  </w:docVars>
  <w:rsids>
    <w:rsidRoot w:val="00857EAA"/>
    <w:rsid w:val="00026C76"/>
    <w:rsid w:val="00036AB1"/>
    <w:rsid w:val="00051D7B"/>
    <w:rsid w:val="00087079"/>
    <w:rsid w:val="000B7A27"/>
    <w:rsid w:val="000E05E1"/>
    <w:rsid w:val="000E3091"/>
    <w:rsid w:val="000E610D"/>
    <w:rsid w:val="001444C1"/>
    <w:rsid w:val="0015037B"/>
    <w:rsid w:val="00150AAD"/>
    <w:rsid w:val="001529FC"/>
    <w:rsid w:val="0015433B"/>
    <w:rsid w:val="001B3490"/>
    <w:rsid w:val="001B4F01"/>
    <w:rsid w:val="001C4340"/>
    <w:rsid w:val="001D6F49"/>
    <w:rsid w:val="00211CBB"/>
    <w:rsid w:val="002604EF"/>
    <w:rsid w:val="002626E5"/>
    <w:rsid w:val="0026456E"/>
    <w:rsid w:val="00293B22"/>
    <w:rsid w:val="002B3E74"/>
    <w:rsid w:val="002E073A"/>
    <w:rsid w:val="002E181F"/>
    <w:rsid w:val="002E3BCD"/>
    <w:rsid w:val="002E595C"/>
    <w:rsid w:val="00305C1F"/>
    <w:rsid w:val="003551DD"/>
    <w:rsid w:val="00367354"/>
    <w:rsid w:val="00370224"/>
    <w:rsid w:val="00372153"/>
    <w:rsid w:val="00375D13"/>
    <w:rsid w:val="00397FD2"/>
    <w:rsid w:val="003B51B0"/>
    <w:rsid w:val="003C7902"/>
    <w:rsid w:val="003E3FED"/>
    <w:rsid w:val="003E6134"/>
    <w:rsid w:val="00432983"/>
    <w:rsid w:val="00435274"/>
    <w:rsid w:val="004410C5"/>
    <w:rsid w:val="004457D4"/>
    <w:rsid w:val="00460708"/>
    <w:rsid w:val="00463FFA"/>
    <w:rsid w:val="004645E0"/>
    <w:rsid w:val="00467AD6"/>
    <w:rsid w:val="00474717"/>
    <w:rsid w:val="00477D38"/>
    <w:rsid w:val="00493B8B"/>
    <w:rsid w:val="0049414B"/>
    <w:rsid w:val="004C2FE1"/>
    <w:rsid w:val="004F213A"/>
    <w:rsid w:val="00523747"/>
    <w:rsid w:val="00590363"/>
    <w:rsid w:val="005A70FA"/>
    <w:rsid w:val="005B47AB"/>
    <w:rsid w:val="005E14E1"/>
    <w:rsid w:val="005F188D"/>
    <w:rsid w:val="0060082D"/>
    <w:rsid w:val="00684C92"/>
    <w:rsid w:val="006A4B54"/>
    <w:rsid w:val="006B6FC7"/>
    <w:rsid w:val="00727565"/>
    <w:rsid w:val="007335DE"/>
    <w:rsid w:val="0076171E"/>
    <w:rsid w:val="00765F3F"/>
    <w:rsid w:val="00770B61"/>
    <w:rsid w:val="007975A6"/>
    <w:rsid w:val="007E3CB8"/>
    <w:rsid w:val="007E4966"/>
    <w:rsid w:val="00805E0E"/>
    <w:rsid w:val="0081676C"/>
    <w:rsid w:val="0082680F"/>
    <w:rsid w:val="008310B5"/>
    <w:rsid w:val="0083591E"/>
    <w:rsid w:val="00851D26"/>
    <w:rsid w:val="00852618"/>
    <w:rsid w:val="00857EAA"/>
    <w:rsid w:val="008776B1"/>
    <w:rsid w:val="008864CF"/>
    <w:rsid w:val="00893E4E"/>
    <w:rsid w:val="008A2388"/>
    <w:rsid w:val="008C342B"/>
    <w:rsid w:val="008D543B"/>
    <w:rsid w:val="008E6A75"/>
    <w:rsid w:val="009029BC"/>
    <w:rsid w:val="009108B1"/>
    <w:rsid w:val="009123E3"/>
    <w:rsid w:val="00914C04"/>
    <w:rsid w:val="00927E78"/>
    <w:rsid w:val="00930BB1"/>
    <w:rsid w:val="00941BEC"/>
    <w:rsid w:val="00964483"/>
    <w:rsid w:val="00971457"/>
    <w:rsid w:val="00984D0A"/>
    <w:rsid w:val="0099404A"/>
    <w:rsid w:val="009968D3"/>
    <w:rsid w:val="009A112F"/>
    <w:rsid w:val="009B474C"/>
    <w:rsid w:val="009D33DD"/>
    <w:rsid w:val="009D51D5"/>
    <w:rsid w:val="009E2D0B"/>
    <w:rsid w:val="00A0775D"/>
    <w:rsid w:val="00A32065"/>
    <w:rsid w:val="00A61529"/>
    <w:rsid w:val="00A70E7A"/>
    <w:rsid w:val="00A77C99"/>
    <w:rsid w:val="00A77DC6"/>
    <w:rsid w:val="00AB421C"/>
    <w:rsid w:val="00AD22CA"/>
    <w:rsid w:val="00AE1CA1"/>
    <w:rsid w:val="00AE63CC"/>
    <w:rsid w:val="00AF6960"/>
    <w:rsid w:val="00B5407D"/>
    <w:rsid w:val="00B76882"/>
    <w:rsid w:val="00B76B5A"/>
    <w:rsid w:val="00B83BE6"/>
    <w:rsid w:val="00B84F1F"/>
    <w:rsid w:val="00B9439C"/>
    <w:rsid w:val="00BC4493"/>
    <w:rsid w:val="00BD2534"/>
    <w:rsid w:val="00BF1163"/>
    <w:rsid w:val="00C10E88"/>
    <w:rsid w:val="00C120E7"/>
    <w:rsid w:val="00C1365F"/>
    <w:rsid w:val="00C16D21"/>
    <w:rsid w:val="00C274EB"/>
    <w:rsid w:val="00C35ABA"/>
    <w:rsid w:val="00C61899"/>
    <w:rsid w:val="00C73684"/>
    <w:rsid w:val="00C9285C"/>
    <w:rsid w:val="00C95887"/>
    <w:rsid w:val="00CA14C0"/>
    <w:rsid w:val="00CC4D80"/>
    <w:rsid w:val="00CD63D8"/>
    <w:rsid w:val="00D0116E"/>
    <w:rsid w:val="00D2692C"/>
    <w:rsid w:val="00D42ED7"/>
    <w:rsid w:val="00D639D6"/>
    <w:rsid w:val="00D773AE"/>
    <w:rsid w:val="00DA1433"/>
    <w:rsid w:val="00DA6222"/>
    <w:rsid w:val="00DB2586"/>
    <w:rsid w:val="00DB7DB2"/>
    <w:rsid w:val="00DC64D8"/>
    <w:rsid w:val="00DF1C84"/>
    <w:rsid w:val="00DF4928"/>
    <w:rsid w:val="00E0307D"/>
    <w:rsid w:val="00E27580"/>
    <w:rsid w:val="00E449D3"/>
    <w:rsid w:val="00E62031"/>
    <w:rsid w:val="00E65018"/>
    <w:rsid w:val="00E76BCE"/>
    <w:rsid w:val="00E90DF7"/>
    <w:rsid w:val="00ED1659"/>
    <w:rsid w:val="00ED5281"/>
    <w:rsid w:val="00EE3720"/>
    <w:rsid w:val="00EE4D7B"/>
    <w:rsid w:val="00EF456B"/>
    <w:rsid w:val="00EF68E4"/>
    <w:rsid w:val="00F04729"/>
    <w:rsid w:val="00F10CFA"/>
    <w:rsid w:val="00F549B9"/>
    <w:rsid w:val="00F56AC7"/>
    <w:rsid w:val="00F92D86"/>
    <w:rsid w:val="00FC11C8"/>
    <w:rsid w:val="00FE0ED7"/>
    <w:rsid w:val="00FE3E6F"/>
    <w:rsid w:val="00FE6CFD"/>
    <w:rsid w:val="00FF0761"/>
    <w:rsid w:val="01DD1E9F"/>
    <w:rsid w:val="02B5726A"/>
    <w:rsid w:val="04F94E45"/>
    <w:rsid w:val="07560F4D"/>
    <w:rsid w:val="07F17FE6"/>
    <w:rsid w:val="088308FE"/>
    <w:rsid w:val="08AC1468"/>
    <w:rsid w:val="09A73F9A"/>
    <w:rsid w:val="0E9467BD"/>
    <w:rsid w:val="0F5C5BA2"/>
    <w:rsid w:val="122F3372"/>
    <w:rsid w:val="13E408A8"/>
    <w:rsid w:val="13ED4E70"/>
    <w:rsid w:val="165322D8"/>
    <w:rsid w:val="16627040"/>
    <w:rsid w:val="166E2F00"/>
    <w:rsid w:val="1986783C"/>
    <w:rsid w:val="1E027E0A"/>
    <w:rsid w:val="2083069A"/>
    <w:rsid w:val="225A59F1"/>
    <w:rsid w:val="249F13F6"/>
    <w:rsid w:val="282456AE"/>
    <w:rsid w:val="29AB625B"/>
    <w:rsid w:val="2A7913D2"/>
    <w:rsid w:val="2CB54BFF"/>
    <w:rsid w:val="2DF053E2"/>
    <w:rsid w:val="2EF91327"/>
    <w:rsid w:val="2FF876C5"/>
    <w:rsid w:val="322C242E"/>
    <w:rsid w:val="36BD2899"/>
    <w:rsid w:val="386E2EC1"/>
    <w:rsid w:val="38782807"/>
    <w:rsid w:val="3DFD2F43"/>
    <w:rsid w:val="400A3A3A"/>
    <w:rsid w:val="40792B4D"/>
    <w:rsid w:val="41B82232"/>
    <w:rsid w:val="44E04490"/>
    <w:rsid w:val="45943BEF"/>
    <w:rsid w:val="45FA2938"/>
    <w:rsid w:val="47A70D1B"/>
    <w:rsid w:val="494077E9"/>
    <w:rsid w:val="4D04174A"/>
    <w:rsid w:val="51E7569F"/>
    <w:rsid w:val="52EA0741"/>
    <w:rsid w:val="565D0C49"/>
    <w:rsid w:val="57BB500C"/>
    <w:rsid w:val="5C1D216B"/>
    <w:rsid w:val="5C843C43"/>
    <w:rsid w:val="5DBB3FB7"/>
    <w:rsid w:val="613B1C1D"/>
    <w:rsid w:val="6186748F"/>
    <w:rsid w:val="68183DB4"/>
    <w:rsid w:val="68DE020F"/>
    <w:rsid w:val="6A417359"/>
    <w:rsid w:val="6B6F04BC"/>
    <w:rsid w:val="6C5C0714"/>
    <w:rsid w:val="6D49131F"/>
    <w:rsid w:val="6DE059DE"/>
    <w:rsid w:val="704974D6"/>
    <w:rsid w:val="7159713C"/>
    <w:rsid w:val="746042F1"/>
    <w:rsid w:val="74A30465"/>
    <w:rsid w:val="7C384810"/>
    <w:rsid w:val="7D6708F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18"/>
    <w:unhideWhenUsed/>
    <w:qFormat/>
    <w:uiPriority w:val="9"/>
    <w:pPr>
      <w:keepNext/>
      <w:keepLines/>
      <w:spacing w:before="260" w:after="260" w:line="416" w:lineRule="auto"/>
      <w:outlineLvl w:val="2"/>
    </w:pPr>
    <w:rPr>
      <w:b/>
      <w:bCs/>
      <w:sz w:val="32"/>
      <w:szCs w:val="32"/>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6"/>
    <w:autoRedefine/>
    <w:qFormat/>
    <w:uiPriority w:val="1"/>
    <w:pPr>
      <w:autoSpaceDE w:val="0"/>
      <w:autoSpaceDN w:val="0"/>
      <w:jc w:val="left"/>
    </w:pPr>
    <w:rPr>
      <w:rFonts w:ascii="宋体" w:hAnsi="宋体" w:cs="宋体"/>
      <w:kern w:val="0"/>
      <w:szCs w:val="21"/>
    </w:rPr>
  </w:style>
  <w:style w:type="paragraph" w:styleId="5">
    <w:name w:val="Date"/>
    <w:basedOn w:val="1"/>
    <w:next w:val="1"/>
    <w:link w:val="19"/>
    <w:semiHidden/>
    <w:unhideWhenUsed/>
    <w:qFormat/>
    <w:uiPriority w:val="99"/>
    <w:pPr>
      <w:ind w:left="100" w:leftChars="2500"/>
    </w:pPr>
  </w:style>
  <w:style w:type="paragraph" w:styleId="6">
    <w:name w:val="Balloon Text"/>
    <w:basedOn w:val="1"/>
    <w:link w:val="23"/>
    <w:semiHidden/>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autoRedefine/>
    <w:semiHidden/>
    <w:unhideWhenUsed/>
    <w:qFormat/>
    <w:uiPriority w:val="99"/>
    <w:rPr>
      <w:color w:val="0000FF"/>
      <w:u w:val="single"/>
    </w:rPr>
  </w:style>
  <w:style w:type="character" w:customStyle="1" w:styleId="13">
    <w:name w:val="页眉 Char"/>
    <w:basedOn w:val="11"/>
    <w:link w:val="8"/>
    <w:autoRedefine/>
    <w:qFormat/>
    <w:uiPriority w:val="99"/>
    <w:rPr>
      <w:sz w:val="18"/>
      <w:szCs w:val="18"/>
    </w:rPr>
  </w:style>
  <w:style w:type="character" w:customStyle="1" w:styleId="14">
    <w:name w:val="页脚 Char"/>
    <w:basedOn w:val="11"/>
    <w:link w:val="7"/>
    <w:autoRedefine/>
    <w:qFormat/>
    <w:uiPriority w:val="99"/>
    <w:rPr>
      <w:sz w:val="18"/>
      <w:szCs w:val="18"/>
    </w:rPr>
  </w:style>
  <w:style w:type="paragraph" w:styleId="15">
    <w:name w:val="List Paragraph"/>
    <w:basedOn w:val="1"/>
    <w:autoRedefine/>
    <w:qFormat/>
    <w:uiPriority w:val="34"/>
    <w:pPr>
      <w:ind w:firstLine="420" w:firstLineChars="200"/>
    </w:pPr>
  </w:style>
  <w:style w:type="character" w:customStyle="1" w:styleId="16">
    <w:name w:val="正文文本 Char"/>
    <w:basedOn w:val="11"/>
    <w:link w:val="4"/>
    <w:autoRedefine/>
    <w:qFormat/>
    <w:uiPriority w:val="1"/>
    <w:rPr>
      <w:rFonts w:ascii="宋体" w:hAnsi="宋体" w:eastAsia="宋体" w:cs="宋体"/>
      <w:kern w:val="0"/>
      <w:szCs w:val="21"/>
    </w:rPr>
  </w:style>
  <w:style w:type="character" w:customStyle="1" w:styleId="17">
    <w:name w:val="标题 2 Char"/>
    <w:basedOn w:val="11"/>
    <w:link w:val="2"/>
    <w:autoRedefine/>
    <w:qFormat/>
    <w:uiPriority w:val="9"/>
    <w:rPr>
      <w:rFonts w:asciiTheme="majorHAnsi" w:hAnsiTheme="majorHAnsi" w:eastAsiaTheme="majorEastAsia" w:cstheme="majorBidi"/>
      <w:b/>
      <w:bCs/>
      <w:sz w:val="32"/>
      <w:szCs w:val="32"/>
    </w:rPr>
  </w:style>
  <w:style w:type="character" w:customStyle="1" w:styleId="18">
    <w:name w:val="标题 3 Char"/>
    <w:basedOn w:val="11"/>
    <w:link w:val="3"/>
    <w:autoRedefine/>
    <w:qFormat/>
    <w:uiPriority w:val="9"/>
    <w:rPr>
      <w:rFonts w:ascii="Times New Roman" w:hAnsi="Times New Roman" w:eastAsia="宋体" w:cs="Times New Roman"/>
      <w:b/>
      <w:bCs/>
      <w:sz w:val="32"/>
      <w:szCs w:val="32"/>
    </w:rPr>
  </w:style>
  <w:style w:type="character" w:customStyle="1" w:styleId="19">
    <w:name w:val="日期 Char"/>
    <w:basedOn w:val="11"/>
    <w:link w:val="5"/>
    <w:semiHidden/>
    <w:qFormat/>
    <w:uiPriority w:val="99"/>
    <w:rPr>
      <w:kern w:val="2"/>
      <w:sz w:val="21"/>
      <w:szCs w:val="24"/>
    </w:rPr>
  </w:style>
  <w:style w:type="paragraph" w:customStyle="1" w:styleId="20">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1">
    <w:name w:val="标准文件_章标题"/>
    <w:next w:val="20"/>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2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
    <w:name w:val="批注框文本 Char"/>
    <w:basedOn w:val="11"/>
    <w:link w:val="6"/>
    <w:semiHidden/>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10</Pages>
  <Words>4052</Words>
  <Characters>4305</Characters>
  <Lines>31</Lines>
  <Paragraphs>8</Paragraphs>
  <TotalTime>0</TotalTime>
  <ScaleCrop>false</ScaleCrop>
  <LinksUpToDate>false</LinksUpToDate>
  <CharactersWithSpaces>4333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2024-08-12T05:53:00Z</dcterms:created>
  <dc:creator>Administrator</dc:creator>
  <cp:lastModifiedBy>躬阅载籍</cp:lastModifiedBy>
  <cp:lastPrinted>2024-08-12T01:20:00Z</cp:lastPrinted>
  <dcterms:modified xsi:type="dcterms:W3CDTF">2024-08-14T08:21:13Z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25FB7434ED4746A8B72CA9622787804C_13</vt:lpwstr>
  </property>
</Properties>
</file>